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E641" w14:textId="77777777" w:rsidR="004235FE" w:rsidRPr="004235FE" w:rsidRDefault="004235FE" w:rsidP="00F21703">
      <w:pPr>
        <w:ind w:right="3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2931A1" wp14:editId="5E61A8E8">
            <wp:simplePos x="0" y="0"/>
            <wp:positionH relativeFrom="column">
              <wp:posOffset>4559300</wp:posOffset>
            </wp:positionH>
            <wp:positionV relativeFrom="paragraph">
              <wp:posOffset>-136313</wp:posOffset>
            </wp:positionV>
            <wp:extent cx="1678940" cy="8400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CG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84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5FE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Oyster Harbour Catchment Group Inc. </w:t>
      </w:r>
    </w:p>
    <w:p w14:paraId="78A53FC0" w14:textId="77777777" w:rsidR="004235FE" w:rsidRDefault="004235FE" w:rsidP="00F21703">
      <w:pPr>
        <w:ind w:right="3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768B976B" w14:textId="77777777" w:rsidR="004235FE" w:rsidRDefault="004235FE" w:rsidP="00F21703">
      <w:pPr>
        <w:ind w:right="3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643CC8A6" w14:textId="21734001" w:rsidR="004235FE" w:rsidRPr="004235FE" w:rsidRDefault="00F21703" w:rsidP="00F21703">
      <w:pPr>
        <w:ind w:right="3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Timesheet and TOIL</w:t>
      </w:r>
      <w:r w:rsidR="00926CD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3878F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Policy </w:t>
      </w:r>
      <w:r w:rsidR="00EB296E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&amp;</w:t>
      </w:r>
      <w:r w:rsidR="003878F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Procedure</w:t>
      </w:r>
      <w:r w:rsidR="00EB296E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</w:t>
      </w:r>
    </w:p>
    <w:p w14:paraId="0AEA6DFC" w14:textId="77777777" w:rsidR="004235FE" w:rsidRDefault="004235FE" w:rsidP="00F21703">
      <w:pPr>
        <w:ind w:right="3"/>
        <w:jc w:val="both"/>
        <w:rPr>
          <w:rFonts w:asciiTheme="minorHAnsi" w:hAnsiTheme="minorHAnsi" w:cstheme="minorHAnsi"/>
        </w:rPr>
      </w:pPr>
    </w:p>
    <w:p w14:paraId="5E8A22AE" w14:textId="1F15EB8A" w:rsidR="00175086" w:rsidRDefault="00175086" w:rsidP="00F2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3"/>
        <w:jc w:val="both"/>
        <w:rPr>
          <w:rFonts w:asciiTheme="minorHAnsi" w:hAnsiTheme="minorHAnsi" w:cstheme="minorHAnsi"/>
        </w:rPr>
      </w:pPr>
      <w:r w:rsidRPr="00175086">
        <w:rPr>
          <w:rFonts w:asciiTheme="minorHAnsi" w:hAnsiTheme="minorHAnsi" w:cstheme="minorHAnsi"/>
          <w:b/>
        </w:rPr>
        <w:t>Document Number: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OHCG 0</w:t>
      </w:r>
      <w:r w:rsidR="00B01158">
        <w:rPr>
          <w:rFonts w:asciiTheme="minorHAnsi" w:hAnsiTheme="minorHAnsi" w:cstheme="minorHAnsi"/>
        </w:rPr>
        <w:t>0</w:t>
      </w:r>
      <w:r w:rsidR="00F21703">
        <w:rPr>
          <w:rFonts w:asciiTheme="minorHAnsi" w:hAnsiTheme="minorHAnsi" w:cstheme="minorHAnsi"/>
        </w:rPr>
        <w:t>5</w:t>
      </w:r>
    </w:p>
    <w:p w14:paraId="746147A6" w14:textId="77777777" w:rsidR="00175086" w:rsidRDefault="00175086" w:rsidP="00F2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3"/>
        <w:jc w:val="both"/>
        <w:rPr>
          <w:rFonts w:asciiTheme="minorHAnsi" w:hAnsiTheme="minorHAnsi" w:cstheme="minorHAnsi"/>
        </w:rPr>
      </w:pPr>
      <w:r w:rsidRPr="00175086">
        <w:rPr>
          <w:rFonts w:asciiTheme="minorHAnsi" w:hAnsiTheme="minorHAnsi" w:cstheme="minorHAnsi"/>
          <w:b/>
        </w:rPr>
        <w:t>Custodian: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OHCG Inc. Chair</w:t>
      </w:r>
    </w:p>
    <w:p w14:paraId="53068E5C" w14:textId="102A7810" w:rsidR="00175086" w:rsidRDefault="00175086" w:rsidP="00F2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3"/>
        <w:jc w:val="both"/>
        <w:rPr>
          <w:rFonts w:asciiTheme="minorHAnsi" w:hAnsiTheme="minorHAnsi" w:cstheme="minorHAnsi"/>
        </w:rPr>
      </w:pPr>
      <w:r w:rsidRPr="00175086">
        <w:rPr>
          <w:rFonts w:asciiTheme="minorHAnsi" w:hAnsiTheme="minorHAnsi" w:cstheme="minorHAnsi"/>
          <w:b/>
        </w:rPr>
        <w:t>Relates to: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878FC">
        <w:rPr>
          <w:rFonts w:asciiTheme="minorHAnsi" w:hAnsiTheme="minorHAnsi" w:cstheme="minorHAnsi"/>
        </w:rPr>
        <w:t>OHCG</w:t>
      </w:r>
      <w:r w:rsidR="00615548">
        <w:rPr>
          <w:rFonts w:asciiTheme="minorHAnsi" w:hAnsiTheme="minorHAnsi" w:cstheme="minorHAnsi"/>
        </w:rPr>
        <w:t xml:space="preserve"> Chair, </w:t>
      </w:r>
      <w:r w:rsidR="003878FC">
        <w:rPr>
          <w:rFonts w:asciiTheme="minorHAnsi" w:hAnsiTheme="minorHAnsi" w:cstheme="minorHAnsi"/>
        </w:rPr>
        <w:t>Management Committee</w:t>
      </w:r>
      <w:r w:rsidR="00615548">
        <w:rPr>
          <w:rFonts w:asciiTheme="minorHAnsi" w:hAnsiTheme="minorHAnsi" w:cstheme="minorHAnsi"/>
        </w:rPr>
        <w:t xml:space="preserve"> and Staff</w:t>
      </w:r>
    </w:p>
    <w:p w14:paraId="3D903E5B" w14:textId="24556ED1" w:rsidR="00175086" w:rsidRPr="00175086" w:rsidRDefault="00175086" w:rsidP="00F2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3"/>
        <w:jc w:val="both"/>
        <w:rPr>
          <w:rFonts w:asciiTheme="minorHAnsi" w:hAnsiTheme="minorHAnsi" w:cstheme="minorHAnsi"/>
          <w:b/>
        </w:rPr>
      </w:pPr>
      <w:r w:rsidRPr="00175086">
        <w:rPr>
          <w:rFonts w:asciiTheme="minorHAnsi" w:hAnsiTheme="minorHAnsi" w:cstheme="minorHAnsi"/>
          <w:b/>
        </w:rPr>
        <w:t xml:space="preserve">Adoption Date: </w:t>
      </w:r>
      <w:r w:rsidRPr="00175086">
        <w:rPr>
          <w:rFonts w:asciiTheme="minorHAnsi" w:hAnsiTheme="minorHAnsi" w:cstheme="minorHAnsi"/>
          <w:b/>
        </w:rPr>
        <w:tab/>
      </w:r>
      <w:r w:rsidR="00EF68B2">
        <w:rPr>
          <w:rFonts w:asciiTheme="minorHAnsi" w:hAnsiTheme="minorHAnsi" w:cstheme="minorHAnsi"/>
          <w:b/>
        </w:rPr>
        <w:t>23</w:t>
      </w:r>
      <w:r w:rsidR="00EF68B2" w:rsidRPr="00EF68B2">
        <w:rPr>
          <w:rFonts w:asciiTheme="minorHAnsi" w:hAnsiTheme="minorHAnsi" w:cstheme="minorHAnsi"/>
          <w:b/>
          <w:vertAlign w:val="superscript"/>
        </w:rPr>
        <w:t>rd</w:t>
      </w:r>
      <w:r w:rsidR="00EF68B2">
        <w:rPr>
          <w:rFonts w:asciiTheme="minorHAnsi" w:hAnsiTheme="minorHAnsi" w:cstheme="minorHAnsi"/>
          <w:b/>
        </w:rPr>
        <w:t xml:space="preserve"> April 2020</w:t>
      </w:r>
      <w:r w:rsidRPr="00175086">
        <w:rPr>
          <w:rFonts w:asciiTheme="minorHAnsi" w:hAnsiTheme="minorHAnsi" w:cstheme="minorHAnsi"/>
          <w:b/>
        </w:rPr>
        <w:tab/>
      </w:r>
    </w:p>
    <w:p w14:paraId="61B50837" w14:textId="64D21FAB" w:rsidR="00175086" w:rsidRDefault="00175086" w:rsidP="00F2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3"/>
        <w:jc w:val="both"/>
        <w:rPr>
          <w:rFonts w:asciiTheme="minorHAnsi" w:hAnsiTheme="minorHAnsi" w:cstheme="minorHAnsi"/>
          <w:b/>
        </w:rPr>
      </w:pPr>
      <w:r w:rsidRPr="00175086">
        <w:rPr>
          <w:rFonts w:asciiTheme="minorHAnsi" w:hAnsiTheme="minorHAnsi" w:cstheme="minorHAnsi"/>
          <w:b/>
        </w:rPr>
        <w:t xml:space="preserve">Next Review: </w:t>
      </w:r>
      <w:r w:rsidRPr="00175086">
        <w:rPr>
          <w:rFonts w:asciiTheme="minorHAnsi" w:hAnsiTheme="minorHAnsi" w:cstheme="minorHAnsi"/>
          <w:b/>
        </w:rPr>
        <w:tab/>
      </w:r>
      <w:r w:rsidRPr="00175086">
        <w:rPr>
          <w:rFonts w:asciiTheme="minorHAnsi" w:hAnsiTheme="minorHAnsi" w:cstheme="minorHAnsi"/>
          <w:b/>
        </w:rPr>
        <w:tab/>
      </w:r>
      <w:r w:rsidR="00941DFA">
        <w:rPr>
          <w:rFonts w:asciiTheme="minorHAnsi" w:hAnsiTheme="minorHAnsi" w:cstheme="minorHAnsi"/>
          <w:b/>
        </w:rPr>
        <w:t>August 2022</w:t>
      </w:r>
    </w:p>
    <w:p w14:paraId="79091A0B" w14:textId="6C15D755" w:rsidR="00175086" w:rsidRPr="00175086" w:rsidRDefault="00175086" w:rsidP="00F2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Version: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9D738A">
        <w:rPr>
          <w:rFonts w:asciiTheme="minorHAnsi" w:hAnsiTheme="minorHAnsi" w:cstheme="minorHAnsi"/>
        </w:rPr>
        <w:t>2</w:t>
      </w:r>
    </w:p>
    <w:p w14:paraId="6D38FFB2" w14:textId="77777777" w:rsidR="00CC37DE" w:rsidRPr="004235FE" w:rsidRDefault="00CC37DE" w:rsidP="00F21703">
      <w:pPr>
        <w:ind w:right="3"/>
        <w:jc w:val="both"/>
        <w:rPr>
          <w:rFonts w:asciiTheme="minorHAnsi" w:hAnsiTheme="minorHAnsi" w:cstheme="minorHAnsi"/>
        </w:rPr>
      </w:pPr>
    </w:p>
    <w:p w14:paraId="5D0B4E64" w14:textId="77777777" w:rsidR="006564AC" w:rsidRPr="006564AC" w:rsidRDefault="006564AC" w:rsidP="00F21703">
      <w:pPr>
        <w:pStyle w:val="Heading3"/>
      </w:pPr>
      <w:r w:rsidRPr="006564AC">
        <w:t>INTRODUCTION &amp; PURPOSE</w:t>
      </w:r>
    </w:p>
    <w:p w14:paraId="7AEBEAF8" w14:textId="77777777" w:rsidR="00F23761" w:rsidRPr="00D45C8D" w:rsidRDefault="00F23761" w:rsidP="00F21703">
      <w:pPr>
        <w:pStyle w:val="BodyText"/>
      </w:pPr>
    </w:p>
    <w:p w14:paraId="32C8B79D" w14:textId="505CCD7D" w:rsidR="00926CDD" w:rsidRDefault="00F21703" w:rsidP="005C7F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738A">
        <w:rPr>
          <w:rFonts w:asciiTheme="minorHAnsi" w:hAnsiTheme="minorHAnsi" w:cstheme="minorHAnsi"/>
        </w:rPr>
        <w:t xml:space="preserve">yster </w:t>
      </w:r>
      <w:r>
        <w:rPr>
          <w:rFonts w:asciiTheme="minorHAnsi" w:hAnsiTheme="minorHAnsi" w:cstheme="minorHAnsi"/>
        </w:rPr>
        <w:t>H</w:t>
      </w:r>
      <w:r w:rsidR="009D738A">
        <w:rPr>
          <w:rFonts w:asciiTheme="minorHAnsi" w:hAnsiTheme="minorHAnsi" w:cstheme="minorHAnsi"/>
        </w:rPr>
        <w:t xml:space="preserve">arbour </w:t>
      </w:r>
      <w:r>
        <w:rPr>
          <w:rFonts w:asciiTheme="minorHAnsi" w:hAnsiTheme="minorHAnsi" w:cstheme="minorHAnsi"/>
        </w:rPr>
        <w:t>C</w:t>
      </w:r>
      <w:r w:rsidR="009D738A">
        <w:rPr>
          <w:rFonts w:asciiTheme="minorHAnsi" w:hAnsiTheme="minorHAnsi" w:cstheme="minorHAnsi"/>
        </w:rPr>
        <w:t xml:space="preserve">atchment </w:t>
      </w:r>
      <w:r>
        <w:rPr>
          <w:rFonts w:asciiTheme="minorHAnsi" w:hAnsiTheme="minorHAnsi" w:cstheme="minorHAnsi"/>
        </w:rPr>
        <w:t>G</w:t>
      </w:r>
      <w:r w:rsidR="009D738A">
        <w:rPr>
          <w:rFonts w:asciiTheme="minorHAnsi" w:hAnsiTheme="minorHAnsi" w:cstheme="minorHAnsi"/>
        </w:rPr>
        <w:t>roup</w:t>
      </w:r>
      <w:r>
        <w:rPr>
          <w:rFonts w:asciiTheme="minorHAnsi" w:hAnsiTheme="minorHAnsi" w:cstheme="minorHAnsi"/>
        </w:rPr>
        <w:t xml:space="preserve"> </w:t>
      </w:r>
      <w:r w:rsidR="00D03A8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mployees are </w:t>
      </w:r>
      <w:r w:rsidR="005C7F14">
        <w:rPr>
          <w:rFonts w:asciiTheme="minorHAnsi" w:hAnsiTheme="minorHAnsi" w:cstheme="minorHAnsi"/>
        </w:rPr>
        <w:t>required to</w:t>
      </w:r>
      <w:r>
        <w:rPr>
          <w:rFonts w:asciiTheme="minorHAnsi" w:hAnsiTheme="minorHAnsi" w:cstheme="minorHAnsi"/>
        </w:rPr>
        <w:t xml:space="preserve"> maintain timesheet</w:t>
      </w:r>
      <w:r w:rsidR="00D03A8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their working hours as required under their Employment Agreements. The OHCG recognise</w:t>
      </w:r>
      <w:r w:rsidR="009D738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the seasonal and after hour</w:t>
      </w:r>
      <w:r w:rsidR="009D738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work requirements of the positions of the organisation</w:t>
      </w:r>
      <w:r w:rsidR="00655CDD">
        <w:rPr>
          <w:rFonts w:asciiTheme="minorHAnsi" w:hAnsiTheme="minorHAnsi" w:cstheme="minorHAnsi"/>
        </w:rPr>
        <w:t xml:space="preserve"> and the flexibility required in the workplace. F</w:t>
      </w:r>
      <w:r>
        <w:rPr>
          <w:rFonts w:asciiTheme="minorHAnsi" w:hAnsiTheme="minorHAnsi" w:cstheme="minorHAnsi"/>
        </w:rPr>
        <w:t>or this reason</w:t>
      </w:r>
      <w:r w:rsidR="00655CDD">
        <w:rPr>
          <w:rFonts w:asciiTheme="minorHAnsi" w:hAnsiTheme="minorHAnsi" w:cstheme="minorHAnsi"/>
        </w:rPr>
        <w:t>, OHCG</w:t>
      </w:r>
      <w:r>
        <w:rPr>
          <w:rFonts w:asciiTheme="minorHAnsi" w:hAnsiTheme="minorHAnsi" w:cstheme="minorHAnsi"/>
        </w:rPr>
        <w:t xml:space="preserve"> support</w:t>
      </w:r>
      <w:r w:rsidR="009D738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and provide</w:t>
      </w:r>
      <w:r w:rsidR="009D738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time off in lieu (TOIL) whereby </w:t>
      </w:r>
      <w:r w:rsidR="00655CDD">
        <w:rPr>
          <w:rFonts w:asciiTheme="minorHAnsi" w:hAnsiTheme="minorHAnsi" w:cstheme="minorHAnsi"/>
        </w:rPr>
        <w:t xml:space="preserve">Employee </w:t>
      </w:r>
      <w:r>
        <w:rPr>
          <w:rFonts w:asciiTheme="minorHAnsi" w:hAnsiTheme="minorHAnsi" w:cstheme="minorHAnsi"/>
        </w:rPr>
        <w:t xml:space="preserve">overtime </w:t>
      </w:r>
      <w:r w:rsidR="00535B88">
        <w:rPr>
          <w:rFonts w:asciiTheme="minorHAnsi" w:hAnsiTheme="minorHAnsi" w:cstheme="minorHAnsi"/>
        </w:rPr>
        <w:t xml:space="preserve">and undertime is recorded </w:t>
      </w:r>
      <w:r w:rsidR="00655CDD">
        <w:rPr>
          <w:rFonts w:asciiTheme="minorHAnsi" w:hAnsiTheme="minorHAnsi" w:cstheme="minorHAnsi"/>
        </w:rPr>
        <w:t xml:space="preserve">on their timesheets </w:t>
      </w:r>
      <w:r w:rsidR="00535B88">
        <w:rPr>
          <w:rFonts w:asciiTheme="minorHAnsi" w:hAnsiTheme="minorHAnsi" w:cstheme="minorHAnsi"/>
        </w:rPr>
        <w:t xml:space="preserve">and monitored </w:t>
      </w:r>
      <w:r w:rsidR="00655CDD">
        <w:rPr>
          <w:rFonts w:asciiTheme="minorHAnsi" w:hAnsiTheme="minorHAnsi" w:cstheme="minorHAnsi"/>
        </w:rPr>
        <w:t>and any TOIL in the positive can be taken as time off in lieu</w:t>
      </w:r>
      <w:r>
        <w:rPr>
          <w:rFonts w:asciiTheme="minorHAnsi" w:hAnsiTheme="minorHAnsi" w:cstheme="minorHAnsi"/>
        </w:rPr>
        <w:t xml:space="preserve">. </w:t>
      </w:r>
    </w:p>
    <w:p w14:paraId="4F116FB0" w14:textId="77777777" w:rsidR="005C10A6" w:rsidRDefault="005C10A6" w:rsidP="00F21703">
      <w:pPr>
        <w:rPr>
          <w:rFonts w:asciiTheme="minorHAnsi" w:hAnsiTheme="minorHAnsi" w:cstheme="minorHAnsi"/>
        </w:rPr>
      </w:pPr>
    </w:p>
    <w:p w14:paraId="71DA65DA" w14:textId="04FA0A3D" w:rsidR="00F21703" w:rsidRDefault="00F21703" w:rsidP="00F217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policy supplements </w:t>
      </w:r>
      <w:r w:rsidR="00D03A8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mployee Employment Agreements in providing guidance for timesheet recording and clearly outlines the </w:t>
      </w:r>
      <w:r w:rsidR="005C7F14">
        <w:rPr>
          <w:rFonts w:asciiTheme="minorHAnsi" w:hAnsiTheme="minorHAnsi" w:cstheme="minorHAnsi"/>
        </w:rPr>
        <w:t xml:space="preserve">OHCG </w:t>
      </w:r>
      <w:r>
        <w:rPr>
          <w:rFonts w:asciiTheme="minorHAnsi" w:hAnsiTheme="minorHAnsi" w:cstheme="minorHAnsi"/>
        </w:rPr>
        <w:t xml:space="preserve">TOIL policy. </w:t>
      </w:r>
    </w:p>
    <w:p w14:paraId="108BF412" w14:textId="77777777" w:rsidR="005C10A6" w:rsidRPr="006E1168" w:rsidRDefault="005C10A6" w:rsidP="00F21703">
      <w:pPr>
        <w:rPr>
          <w:rFonts w:ascii="Verdana" w:hAnsi="Verdana"/>
          <w:sz w:val="20"/>
          <w:szCs w:val="20"/>
        </w:rPr>
      </w:pPr>
    </w:p>
    <w:p w14:paraId="6B56AEE1" w14:textId="77777777" w:rsidR="006564AC" w:rsidRDefault="006564AC" w:rsidP="00F21703">
      <w:pPr>
        <w:pStyle w:val="Heading3"/>
      </w:pPr>
      <w:r>
        <w:t>COMMENCEMENT OF POLICY</w:t>
      </w:r>
    </w:p>
    <w:p w14:paraId="1253C635" w14:textId="77777777" w:rsidR="00F23761" w:rsidRDefault="00F23761" w:rsidP="00F21703">
      <w:pPr>
        <w:jc w:val="both"/>
      </w:pPr>
      <w:bookmarkStart w:id="0" w:name="_Hlk22733021"/>
    </w:p>
    <w:p w14:paraId="18A63752" w14:textId="25119227" w:rsidR="00966E4E" w:rsidRDefault="00D208A9" w:rsidP="00F21703">
      <w:pPr>
        <w:jc w:val="both"/>
      </w:pPr>
      <w:bookmarkStart w:id="1" w:name="_Hlk22818367"/>
      <w:r>
        <w:t>This policy will commence on the Adoption Date set out above</w:t>
      </w:r>
      <w:r w:rsidR="004D07AE">
        <w:t xml:space="preserve">. </w:t>
      </w:r>
      <w:bookmarkEnd w:id="1"/>
      <w:r w:rsidR="00966E4E">
        <w:t xml:space="preserve">OHCG undertakes to regularly review this policy to take account of changes in legislation, activities, </w:t>
      </w:r>
      <w:r w:rsidR="00634FA8">
        <w:t xml:space="preserve">services </w:t>
      </w:r>
      <w:r w:rsidR="00966E4E">
        <w:t xml:space="preserve">and products. As a result of this review, changes may be made to this policy from time to time and all </w:t>
      </w:r>
      <w:r w:rsidR="00D03A85">
        <w:t>E</w:t>
      </w:r>
      <w:r w:rsidR="00966E4E">
        <w:t>mployees and contractors are required to comply with those</w:t>
      </w:r>
      <w:r w:rsidR="00966E4E">
        <w:rPr>
          <w:spacing w:val="-4"/>
        </w:rPr>
        <w:t xml:space="preserve"> </w:t>
      </w:r>
      <w:r w:rsidR="00966E4E">
        <w:t xml:space="preserve">changes. Versions and revisions will be recorded as set out in Clause </w:t>
      </w:r>
      <w:r w:rsidR="005C7F14">
        <w:t>8</w:t>
      </w:r>
      <w:r w:rsidR="00966E4E">
        <w:t xml:space="preserve">. </w:t>
      </w:r>
    </w:p>
    <w:bookmarkEnd w:id="0"/>
    <w:p w14:paraId="1C3B0DDF" w14:textId="77777777" w:rsidR="00483928" w:rsidRPr="004235FE" w:rsidRDefault="00483928" w:rsidP="00F21703">
      <w:pPr>
        <w:pStyle w:val="BodyText"/>
      </w:pPr>
    </w:p>
    <w:p w14:paraId="208FE80D" w14:textId="08A67438" w:rsidR="00483928" w:rsidRPr="005128B8" w:rsidRDefault="006564AC" w:rsidP="00F21703">
      <w:pPr>
        <w:pStyle w:val="Heading3"/>
      </w:pPr>
      <w:r>
        <w:t>SCOPE</w:t>
      </w:r>
    </w:p>
    <w:p w14:paraId="34A104BD" w14:textId="77777777" w:rsidR="00F23761" w:rsidRPr="00F21703" w:rsidRDefault="00F23761" w:rsidP="00F21703">
      <w:pPr>
        <w:pStyle w:val="BodyText"/>
      </w:pPr>
    </w:p>
    <w:p w14:paraId="57438FD1" w14:textId="33D1A456" w:rsidR="006E1168" w:rsidRPr="00F21703" w:rsidRDefault="00926CDD" w:rsidP="00D03A85">
      <w:pPr>
        <w:pStyle w:val="BodyText"/>
        <w:jc w:val="both"/>
      </w:pPr>
      <w:r w:rsidRPr="00F21703">
        <w:t xml:space="preserve">This policy will apply to all </w:t>
      </w:r>
      <w:r w:rsidR="00F21703" w:rsidRPr="00F21703">
        <w:t xml:space="preserve">OHCG </w:t>
      </w:r>
      <w:r w:rsidR="00D03A85">
        <w:t>E</w:t>
      </w:r>
      <w:r w:rsidR="00F21703" w:rsidRPr="00F21703">
        <w:t>mployees</w:t>
      </w:r>
      <w:r w:rsidR="00D03A85">
        <w:t xml:space="preserve"> and persons responsible for human resource management whereby the staff and human resource managers (or Supervisor) maintain a record of staff hours, the balance of overtime and undertime and the time off in lieu of these hours (balance and when the time off in lieu is taken). </w:t>
      </w:r>
      <w:r w:rsidR="00F21703" w:rsidRPr="00F21703">
        <w:t xml:space="preserve"> </w:t>
      </w:r>
    </w:p>
    <w:p w14:paraId="533CDD27" w14:textId="60FCF802" w:rsidR="006E1168" w:rsidRPr="00F21703" w:rsidRDefault="006E1168" w:rsidP="00F21703">
      <w:pPr>
        <w:pStyle w:val="BodyText"/>
      </w:pPr>
    </w:p>
    <w:p w14:paraId="2A3E55DB" w14:textId="1C91FC19" w:rsidR="00483928" w:rsidRPr="001C0FBD" w:rsidRDefault="00444206" w:rsidP="00F21703">
      <w:pPr>
        <w:pStyle w:val="Heading3"/>
      </w:pPr>
      <w:r w:rsidRPr="001C0FBD">
        <w:t>DEFINITIONS</w:t>
      </w:r>
      <w:r w:rsidR="00634FA8">
        <w:t xml:space="preserve"> &amp; ACRONYMS</w:t>
      </w:r>
    </w:p>
    <w:p w14:paraId="3470734D" w14:textId="77777777" w:rsidR="00483928" w:rsidRDefault="00483928" w:rsidP="00F21703">
      <w:pPr>
        <w:pStyle w:val="ListParagraph"/>
        <w:tabs>
          <w:tab w:val="left" w:pos="786"/>
        </w:tabs>
        <w:ind w:left="720" w:right="3" w:hanging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6"/>
        <w:gridCol w:w="6831"/>
      </w:tblGrid>
      <w:tr w:rsidR="005C7F14" w14:paraId="0B70C5B6" w14:textId="77777777" w:rsidTr="00124041">
        <w:tc>
          <w:tcPr>
            <w:tcW w:w="2806" w:type="dxa"/>
          </w:tcPr>
          <w:p w14:paraId="355CA8F8" w14:textId="6A66E1F0" w:rsidR="005C7F14" w:rsidRDefault="005C7F14" w:rsidP="005C7F14">
            <w:pPr>
              <w:pStyle w:val="ListParagraph"/>
              <w:tabs>
                <w:tab w:val="left" w:pos="786"/>
              </w:tabs>
              <w:ind w:left="0" w:right="3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Employee</w:t>
            </w:r>
          </w:p>
        </w:tc>
        <w:tc>
          <w:tcPr>
            <w:tcW w:w="6831" w:type="dxa"/>
          </w:tcPr>
          <w:p w14:paraId="3ECAF6F4" w14:textId="07F6A6C2" w:rsidR="005C7F14" w:rsidRDefault="005C7F14" w:rsidP="005C7F14">
            <w:pPr>
              <w:pStyle w:val="ListParagraph"/>
              <w:tabs>
                <w:tab w:val="left" w:pos="0"/>
              </w:tabs>
              <w:ind w:left="0" w:right="3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person directly employed by the OHCG. </w:t>
            </w:r>
          </w:p>
        </w:tc>
      </w:tr>
      <w:tr w:rsidR="005C7F14" w14:paraId="5400BAE9" w14:textId="77777777" w:rsidTr="00124041">
        <w:tc>
          <w:tcPr>
            <w:tcW w:w="2806" w:type="dxa"/>
          </w:tcPr>
          <w:p w14:paraId="6BC9E44B" w14:textId="1C68098A" w:rsidR="005C7F14" w:rsidRDefault="005C7F14" w:rsidP="005C7F14">
            <w:pPr>
              <w:pStyle w:val="ListParagraph"/>
              <w:tabs>
                <w:tab w:val="left" w:pos="786"/>
              </w:tabs>
              <w:ind w:left="0" w:right="3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Employment Agreement </w:t>
            </w:r>
          </w:p>
        </w:tc>
        <w:tc>
          <w:tcPr>
            <w:tcW w:w="6831" w:type="dxa"/>
          </w:tcPr>
          <w:p w14:paraId="3B47FEA4" w14:textId="17CC1CCD" w:rsidR="005C7F14" w:rsidRDefault="005C7F14" w:rsidP="005C7F14">
            <w:pPr>
              <w:pStyle w:val="ListParagraph"/>
              <w:tabs>
                <w:tab w:val="left" w:pos="0"/>
              </w:tabs>
              <w:ind w:left="0" w:right="3" w:firstLine="0"/>
              <w:jc w:val="both"/>
              <w:rPr>
                <w:rFonts w:asciiTheme="minorHAnsi" w:hAnsiTheme="minorHAnsi" w:cstheme="minorHAnsi"/>
              </w:rPr>
            </w:pPr>
            <w:r w:rsidRPr="005C10A6">
              <w:rPr>
                <w:rFonts w:asciiTheme="minorHAnsi" w:hAnsiTheme="minorHAnsi" w:cstheme="minorHAnsi"/>
                <w:color w:val="000000" w:themeColor="text1"/>
              </w:rPr>
              <w:t xml:space="preserve">Agreement between OHCG and </w:t>
            </w:r>
            <w:r w:rsidR="00D03A85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5C10A6">
              <w:rPr>
                <w:rFonts w:asciiTheme="minorHAnsi" w:hAnsiTheme="minorHAnsi" w:cstheme="minorHAnsi"/>
                <w:color w:val="000000" w:themeColor="text1"/>
              </w:rPr>
              <w:t xml:space="preserve">mployee which sets out conditions of employment. </w:t>
            </w:r>
          </w:p>
        </w:tc>
      </w:tr>
      <w:tr w:rsidR="00634FA8" w14:paraId="6EA84C50" w14:textId="77777777" w:rsidTr="00124041">
        <w:tc>
          <w:tcPr>
            <w:tcW w:w="2806" w:type="dxa"/>
          </w:tcPr>
          <w:p w14:paraId="2BC4F423" w14:textId="59862F0F" w:rsidR="00634FA8" w:rsidRDefault="00634FA8" w:rsidP="005C7F14">
            <w:pPr>
              <w:pStyle w:val="ListParagraph"/>
              <w:tabs>
                <w:tab w:val="left" w:pos="786"/>
              </w:tabs>
              <w:ind w:left="0" w:right="3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FTE</w:t>
            </w:r>
          </w:p>
        </w:tc>
        <w:tc>
          <w:tcPr>
            <w:tcW w:w="6831" w:type="dxa"/>
          </w:tcPr>
          <w:p w14:paraId="3DD6A5ED" w14:textId="6FCF1F2D" w:rsidR="00634FA8" w:rsidRDefault="00634FA8" w:rsidP="005C7F14">
            <w:pPr>
              <w:pStyle w:val="ListParagraph"/>
              <w:tabs>
                <w:tab w:val="left" w:pos="0"/>
              </w:tabs>
              <w:ind w:left="0" w:right="3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time equivalent </w:t>
            </w:r>
          </w:p>
        </w:tc>
      </w:tr>
      <w:tr w:rsidR="00535B88" w14:paraId="663125D7" w14:textId="77777777" w:rsidTr="00124041">
        <w:tc>
          <w:tcPr>
            <w:tcW w:w="2806" w:type="dxa"/>
          </w:tcPr>
          <w:p w14:paraId="4112B226" w14:textId="5833251D" w:rsidR="00535B88" w:rsidRDefault="00535B88" w:rsidP="005C7F14">
            <w:pPr>
              <w:pStyle w:val="ListParagraph"/>
              <w:tabs>
                <w:tab w:val="left" w:pos="786"/>
              </w:tabs>
              <w:ind w:left="0" w:right="3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Overtime </w:t>
            </w:r>
          </w:p>
        </w:tc>
        <w:tc>
          <w:tcPr>
            <w:tcW w:w="6831" w:type="dxa"/>
          </w:tcPr>
          <w:p w14:paraId="05494037" w14:textId="17D402CE" w:rsidR="00535B88" w:rsidRDefault="00535B88" w:rsidP="005C7F14">
            <w:pPr>
              <w:pStyle w:val="ListParagraph"/>
              <w:tabs>
                <w:tab w:val="left" w:pos="0"/>
              </w:tabs>
              <w:ind w:left="0" w:right="3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an Employee has worked hours above what they are required to work. Overtime is recorded and monitored on Employee timesheets and contributes to the TOIL balance.</w:t>
            </w:r>
            <w:r w:rsidR="001E5F50">
              <w:rPr>
                <w:rFonts w:asciiTheme="minorHAnsi" w:hAnsiTheme="minorHAnsi" w:cstheme="minorHAnsi"/>
              </w:rPr>
              <w:t xml:space="preserve"> Overtime shows as a positive value. </w:t>
            </w:r>
          </w:p>
        </w:tc>
      </w:tr>
      <w:tr w:rsidR="005C7F14" w14:paraId="0BE87BAB" w14:textId="77777777" w:rsidTr="00124041">
        <w:tc>
          <w:tcPr>
            <w:tcW w:w="2806" w:type="dxa"/>
          </w:tcPr>
          <w:p w14:paraId="17CAE606" w14:textId="0878051C" w:rsidR="005C7F14" w:rsidRDefault="005C7F14" w:rsidP="005C7F14">
            <w:pPr>
              <w:pStyle w:val="ListParagraph"/>
              <w:tabs>
                <w:tab w:val="left" w:pos="786"/>
              </w:tabs>
              <w:ind w:left="0" w:right="3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Policy </w:t>
            </w:r>
          </w:p>
        </w:tc>
        <w:tc>
          <w:tcPr>
            <w:tcW w:w="6831" w:type="dxa"/>
          </w:tcPr>
          <w:p w14:paraId="5DE74254" w14:textId="5D6B3017" w:rsidR="005C7F14" w:rsidRDefault="005C7F14" w:rsidP="005C7F14">
            <w:pPr>
              <w:pStyle w:val="ListParagraph"/>
              <w:tabs>
                <w:tab w:val="left" w:pos="0"/>
              </w:tabs>
              <w:ind w:left="0" w:right="3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Timesheet and TOIL Policy and Procedures. </w:t>
            </w:r>
          </w:p>
        </w:tc>
      </w:tr>
      <w:tr w:rsidR="005C7F14" w14:paraId="79A030D3" w14:textId="77777777" w:rsidTr="00124041">
        <w:tc>
          <w:tcPr>
            <w:tcW w:w="2806" w:type="dxa"/>
          </w:tcPr>
          <w:p w14:paraId="4A6593CB" w14:textId="63D78D46" w:rsidR="005C7F14" w:rsidRDefault="005C7F14" w:rsidP="005C7F14">
            <w:pPr>
              <w:pStyle w:val="ListParagraph"/>
              <w:tabs>
                <w:tab w:val="left" w:pos="786"/>
              </w:tabs>
              <w:ind w:left="0" w:right="3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Timesheets</w:t>
            </w:r>
          </w:p>
        </w:tc>
        <w:tc>
          <w:tcPr>
            <w:tcW w:w="6831" w:type="dxa"/>
          </w:tcPr>
          <w:p w14:paraId="35E3A791" w14:textId="13441778" w:rsidR="005C7F14" w:rsidRPr="005C10A6" w:rsidRDefault="005C7F14" w:rsidP="005C7F14">
            <w:pPr>
              <w:pStyle w:val="ListParagraph"/>
              <w:tabs>
                <w:tab w:val="left" w:pos="0"/>
              </w:tabs>
              <w:ind w:left="0" w:right="3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 record of</w:t>
            </w:r>
            <w:r w:rsidR="009D738A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start and finish times, breaks, activities during work hours, running tallies of leave entitlements and TOIL. </w:t>
            </w:r>
          </w:p>
        </w:tc>
      </w:tr>
      <w:tr w:rsidR="005C7F14" w14:paraId="6BABFC71" w14:textId="77777777" w:rsidTr="00124041">
        <w:tc>
          <w:tcPr>
            <w:tcW w:w="2806" w:type="dxa"/>
          </w:tcPr>
          <w:p w14:paraId="573BD67A" w14:textId="2FC0F8B5" w:rsidR="005C7F14" w:rsidRDefault="005C7F14" w:rsidP="005C7F14">
            <w:pPr>
              <w:pStyle w:val="ListParagraph"/>
              <w:tabs>
                <w:tab w:val="left" w:pos="786"/>
              </w:tabs>
              <w:ind w:left="0" w:right="3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TOIL</w:t>
            </w:r>
          </w:p>
        </w:tc>
        <w:tc>
          <w:tcPr>
            <w:tcW w:w="6831" w:type="dxa"/>
          </w:tcPr>
          <w:p w14:paraId="2D9FEF4C" w14:textId="36450F04" w:rsidR="005C7F14" w:rsidRPr="005C10A6" w:rsidRDefault="005C7F14" w:rsidP="005C7F14">
            <w:pPr>
              <w:pStyle w:val="ListParagraph"/>
              <w:tabs>
                <w:tab w:val="left" w:pos="0"/>
              </w:tabs>
              <w:ind w:left="0" w:right="3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C10A6">
              <w:rPr>
                <w:rFonts w:asciiTheme="minorHAnsi" w:hAnsiTheme="minorHAnsi" w:cstheme="minorHAnsi"/>
                <w:color w:val="000000" w:themeColor="text1"/>
              </w:rPr>
              <w:t xml:space="preserve">Time off in lieu (TOIL). </w:t>
            </w:r>
            <w:r w:rsidRPr="005C10A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The concept of TOIL allows an </w:t>
            </w:r>
            <w:r w:rsidR="00D03A8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</w:t>
            </w:r>
            <w:r w:rsidRPr="005C10A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mployee to work overtime, and then instead of being paid additional remuneration for </w:t>
            </w:r>
            <w:r w:rsidRPr="005C10A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lastRenderedPageBreak/>
              <w:t xml:space="preserve">working such overtime, the </w:t>
            </w:r>
            <w:r w:rsidR="00D03A8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</w:t>
            </w:r>
            <w:r w:rsidRPr="005C10A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mployee is granted paid time off work by their employer, to the equivalent of the overtime worked.</w:t>
            </w:r>
            <w:r w:rsidR="00535B8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Overtime and undertime are </w:t>
            </w:r>
            <w:r w:rsidR="00535B88">
              <w:rPr>
                <w:rFonts w:asciiTheme="minorHAnsi" w:hAnsiTheme="minorHAnsi" w:cstheme="minorHAnsi"/>
              </w:rPr>
              <w:t>recorded and monitored on Employee timesheets and contribute to the TOIL balance.</w:t>
            </w:r>
          </w:p>
        </w:tc>
      </w:tr>
      <w:tr w:rsidR="005C7F14" w14:paraId="7BB2E5AD" w14:textId="77777777" w:rsidTr="00124041">
        <w:tc>
          <w:tcPr>
            <w:tcW w:w="2806" w:type="dxa"/>
          </w:tcPr>
          <w:p w14:paraId="707ED49C" w14:textId="7BEACD9B" w:rsidR="005C7F14" w:rsidRDefault="005C7F14" w:rsidP="005C7F14">
            <w:pPr>
              <w:pStyle w:val="ListParagraph"/>
              <w:tabs>
                <w:tab w:val="left" w:pos="786"/>
              </w:tabs>
              <w:ind w:left="0" w:right="3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TOIL Cap</w:t>
            </w:r>
          </w:p>
        </w:tc>
        <w:tc>
          <w:tcPr>
            <w:tcW w:w="6831" w:type="dxa"/>
          </w:tcPr>
          <w:p w14:paraId="4CAF49E6" w14:textId="7254D4BD" w:rsidR="005C7F14" w:rsidRPr="005C10A6" w:rsidRDefault="005C7F14" w:rsidP="005C7F14">
            <w:pPr>
              <w:pStyle w:val="ListParagraph"/>
              <w:tabs>
                <w:tab w:val="left" w:pos="0"/>
              </w:tabs>
              <w:ind w:left="0" w:right="3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Maximum amount of overtime</w:t>
            </w:r>
            <w:r w:rsidR="005F27F9">
              <w:rPr>
                <w:rFonts w:asciiTheme="minorHAnsi" w:hAnsiTheme="minorHAnsi" w:cstheme="minorHAnsi"/>
                <w:color w:val="000000" w:themeColor="text1"/>
              </w:rPr>
              <w:t xml:space="preserve"> (TOIL)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hours allowed to be accrued </w:t>
            </w:r>
            <w:r w:rsidR="00535B88">
              <w:rPr>
                <w:rFonts w:asciiTheme="minorHAnsi" w:hAnsiTheme="minorHAnsi" w:cstheme="minorHAnsi"/>
                <w:color w:val="000000" w:themeColor="text1"/>
              </w:rPr>
              <w:t xml:space="preserve">in either the negative or the positive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by an </w:t>
            </w:r>
            <w:r w:rsidR="00D03A85">
              <w:rPr>
                <w:rFonts w:asciiTheme="minorHAnsi" w:hAnsiTheme="minorHAnsi" w:cstheme="minorHAnsi"/>
                <w:color w:val="000000" w:themeColor="text1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mployee. </w:t>
            </w:r>
          </w:p>
        </w:tc>
      </w:tr>
      <w:tr w:rsidR="00535B88" w14:paraId="6DCF544A" w14:textId="77777777" w:rsidTr="00124041">
        <w:tc>
          <w:tcPr>
            <w:tcW w:w="2806" w:type="dxa"/>
          </w:tcPr>
          <w:p w14:paraId="5C2E2DB4" w14:textId="340C9904" w:rsidR="00535B88" w:rsidRDefault="00535B88" w:rsidP="005C7F14">
            <w:pPr>
              <w:pStyle w:val="ListParagraph"/>
              <w:tabs>
                <w:tab w:val="left" w:pos="786"/>
              </w:tabs>
              <w:ind w:left="0" w:right="3" w:firstLine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Undertime</w:t>
            </w:r>
          </w:p>
        </w:tc>
        <w:tc>
          <w:tcPr>
            <w:tcW w:w="6831" w:type="dxa"/>
          </w:tcPr>
          <w:p w14:paraId="729C35F8" w14:textId="67B4778A" w:rsidR="00535B88" w:rsidRDefault="00535B88" w:rsidP="005C7F14">
            <w:pPr>
              <w:pStyle w:val="ListParagraph"/>
              <w:tabs>
                <w:tab w:val="left" w:pos="0"/>
              </w:tabs>
              <w:ind w:left="0" w:right="3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When an Employee has worked under the hours that they are required to work. Undertime is recorded and monitored on Employee timesheets and contributes to the TOIL balance.</w:t>
            </w:r>
            <w:r w:rsidR="001E5F50">
              <w:rPr>
                <w:rFonts w:asciiTheme="minorHAnsi" w:hAnsiTheme="minorHAnsi" w:cstheme="minorHAnsi"/>
              </w:rPr>
              <w:t xml:space="preserve"> Undertime shows as a negative value.</w:t>
            </w:r>
          </w:p>
        </w:tc>
      </w:tr>
    </w:tbl>
    <w:p w14:paraId="4ED47061" w14:textId="77777777" w:rsidR="005731AC" w:rsidRPr="004235FE" w:rsidRDefault="005731AC" w:rsidP="00F21703">
      <w:pPr>
        <w:pStyle w:val="ListParagraph"/>
        <w:tabs>
          <w:tab w:val="left" w:pos="786"/>
        </w:tabs>
        <w:ind w:left="720" w:right="3" w:hanging="720"/>
        <w:jc w:val="both"/>
        <w:rPr>
          <w:rFonts w:asciiTheme="minorHAnsi" w:hAnsiTheme="minorHAnsi" w:cstheme="minorHAnsi"/>
        </w:rPr>
      </w:pPr>
    </w:p>
    <w:p w14:paraId="24AA3200" w14:textId="33E05C9F" w:rsidR="003C2378" w:rsidRPr="001C0FBD" w:rsidRDefault="003C2378" w:rsidP="003C2378">
      <w:pPr>
        <w:pStyle w:val="Heading3"/>
      </w:pPr>
      <w:r>
        <w:t xml:space="preserve">TIMESHEET </w:t>
      </w:r>
      <w:r w:rsidRPr="001C0FBD">
        <w:t>POLICY REQUIREMENTS AND</w:t>
      </w:r>
      <w:r w:rsidRPr="001C0FBD">
        <w:rPr>
          <w:spacing w:val="-1"/>
        </w:rPr>
        <w:t xml:space="preserve"> </w:t>
      </w:r>
      <w:r w:rsidRPr="001C0FBD">
        <w:t>PROCEDURES</w:t>
      </w:r>
    </w:p>
    <w:p w14:paraId="6FD7E31D" w14:textId="2CFE41D6" w:rsidR="00F23761" w:rsidRDefault="00F23761" w:rsidP="003C2378">
      <w:pPr>
        <w:pStyle w:val="ListParagraph"/>
        <w:shd w:val="clear" w:color="auto" w:fill="FFFFFF" w:themeFill="background1"/>
        <w:tabs>
          <w:tab w:val="left" w:pos="939"/>
        </w:tabs>
        <w:ind w:left="0" w:right="3" w:firstLine="0"/>
        <w:jc w:val="both"/>
        <w:rPr>
          <w:rFonts w:asciiTheme="minorHAnsi" w:hAnsiTheme="minorHAnsi" w:cstheme="minorHAnsi"/>
        </w:rPr>
      </w:pPr>
    </w:p>
    <w:p w14:paraId="183B8DC4" w14:textId="125DDDAE" w:rsidR="001150DA" w:rsidRDefault="003C2378" w:rsidP="009D738A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left" w:pos="939"/>
        </w:tabs>
        <w:ind w:right="3"/>
        <w:jc w:val="both"/>
        <w:rPr>
          <w:rFonts w:asciiTheme="minorHAnsi" w:hAnsiTheme="minorHAnsi" w:cstheme="minorHAnsi"/>
        </w:rPr>
      </w:pPr>
      <w:r w:rsidRPr="005279D9">
        <w:rPr>
          <w:rFonts w:asciiTheme="minorHAnsi" w:hAnsiTheme="minorHAnsi" w:cstheme="minorHAnsi"/>
        </w:rPr>
        <w:t>All</w:t>
      </w:r>
      <w:r w:rsidR="00D03A85" w:rsidRPr="005279D9">
        <w:rPr>
          <w:rFonts w:asciiTheme="minorHAnsi" w:hAnsiTheme="minorHAnsi" w:cstheme="minorHAnsi"/>
        </w:rPr>
        <w:t xml:space="preserve"> E</w:t>
      </w:r>
      <w:r w:rsidRPr="005279D9">
        <w:rPr>
          <w:rFonts w:asciiTheme="minorHAnsi" w:hAnsiTheme="minorHAnsi" w:cstheme="minorHAnsi"/>
        </w:rPr>
        <w:t xml:space="preserve">mployees are required to maintain and regularly lodge their timesheets with their </w:t>
      </w:r>
      <w:proofErr w:type="gramStart"/>
      <w:r w:rsidRPr="005279D9">
        <w:rPr>
          <w:rFonts w:asciiTheme="minorHAnsi" w:hAnsiTheme="minorHAnsi" w:cstheme="minorHAnsi"/>
        </w:rPr>
        <w:t>Supervisor</w:t>
      </w:r>
      <w:proofErr w:type="gramEnd"/>
      <w:r w:rsidRPr="005279D9">
        <w:rPr>
          <w:rFonts w:asciiTheme="minorHAnsi" w:hAnsiTheme="minorHAnsi" w:cstheme="minorHAnsi"/>
        </w:rPr>
        <w:t xml:space="preserve"> as outlined in the </w:t>
      </w:r>
      <w:r w:rsidR="00D03A85" w:rsidRPr="005279D9">
        <w:rPr>
          <w:rFonts w:asciiTheme="minorHAnsi" w:hAnsiTheme="minorHAnsi" w:cstheme="minorHAnsi"/>
        </w:rPr>
        <w:t>E</w:t>
      </w:r>
      <w:r w:rsidRPr="005279D9">
        <w:rPr>
          <w:rFonts w:asciiTheme="minorHAnsi" w:hAnsiTheme="minorHAnsi" w:cstheme="minorHAnsi"/>
        </w:rPr>
        <w:t>mployee</w:t>
      </w:r>
      <w:r w:rsidR="009D738A">
        <w:rPr>
          <w:rFonts w:asciiTheme="minorHAnsi" w:hAnsiTheme="minorHAnsi" w:cstheme="minorHAnsi"/>
        </w:rPr>
        <w:t>’</w:t>
      </w:r>
      <w:r w:rsidRPr="005279D9">
        <w:rPr>
          <w:rFonts w:asciiTheme="minorHAnsi" w:hAnsiTheme="minorHAnsi" w:cstheme="minorHAnsi"/>
        </w:rPr>
        <w:t xml:space="preserve">s Employment Agreement and appended Job Description Form. </w:t>
      </w:r>
    </w:p>
    <w:p w14:paraId="76E73CD4" w14:textId="78B6C063" w:rsidR="009D738A" w:rsidRPr="005279D9" w:rsidRDefault="001150DA" w:rsidP="005279D9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left" w:pos="939"/>
        </w:tabs>
        <w:ind w:right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Employees are to enter their times using the </w:t>
      </w:r>
      <w:proofErr w:type="spellStart"/>
      <w:r>
        <w:rPr>
          <w:rFonts w:asciiTheme="minorHAnsi" w:hAnsiTheme="minorHAnsi" w:cstheme="minorHAnsi"/>
        </w:rPr>
        <w:t>Keypay</w:t>
      </w:r>
      <w:proofErr w:type="spellEnd"/>
      <w:r>
        <w:rPr>
          <w:rFonts w:asciiTheme="minorHAnsi" w:hAnsiTheme="minorHAnsi" w:cstheme="minorHAnsi"/>
        </w:rPr>
        <w:t xml:space="preserve"> app</w:t>
      </w:r>
      <w:r w:rsidR="00A7693D">
        <w:rPr>
          <w:rFonts w:asciiTheme="minorHAnsi" w:hAnsiTheme="minorHAnsi" w:cstheme="minorHAnsi"/>
        </w:rPr>
        <w:t xml:space="preserve"> or similar as agreed with their Supervisor</w:t>
      </w:r>
      <w:r>
        <w:rPr>
          <w:rFonts w:asciiTheme="minorHAnsi" w:hAnsiTheme="minorHAnsi" w:cstheme="minorHAnsi"/>
        </w:rPr>
        <w:t>.</w:t>
      </w:r>
    </w:p>
    <w:p w14:paraId="440491F9" w14:textId="360E0BCB" w:rsidR="009D738A" w:rsidRPr="005279D9" w:rsidRDefault="00A10745" w:rsidP="005279D9">
      <w:pPr>
        <w:pStyle w:val="ListParagraph"/>
        <w:numPr>
          <w:ilvl w:val="1"/>
          <w:numId w:val="30"/>
        </w:numPr>
        <w:shd w:val="clear" w:color="auto" w:fill="FFFFFF" w:themeFill="background1"/>
        <w:tabs>
          <w:tab w:val="left" w:pos="939"/>
        </w:tabs>
        <w:ind w:right="3"/>
        <w:jc w:val="both"/>
        <w:rPr>
          <w:rFonts w:asciiTheme="minorHAnsi" w:hAnsiTheme="minorHAnsi" w:cstheme="minorHAnsi"/>
        </w:rPr>
      </w:pPr>
      <w:r w:rsidRPr="005279D9">
        <w:rPr>
          <w:rFonts w:asciiTheme="minorHAnsi" w:hAnsiTheme="minorHAnsi" w:cstheme="minorHAnsi"/>
        </w:rPr>
        <w:t xml:space="preserve">Employees are encouraged to enter their timesheet information daily to ensure accuracy of information. </w:t>
      </w:r>
    </w:p>
    <w:p w14:paraId="10DA8578" w14:textId="77777777" w:rsidR="00483928" w:rsidRPr="004235FE" w:rsidRDefault="00483928" w:rsidP="00F21703">
      <w:pPr>
        <w:pStyle w:val="BodyText"/>
      </w:pPr>
    </w:p>
    <w:p w14:paraId="2A3F08FD" w14:textId="2C6B852A" w:rsidR="00483928" w:rsidRPr="001C0FBD" w:rsidRDefault="003C2378" w:rsidP="00F21703">
      <w:pPr>
        <w:pStyle w:val="Heading3"/>
      </w:pPr>
      <w:r>
        <w:t xml:space="preserve">TOIL </w:t>
      </w:r>
      <w:r w:rsidR="00444206" w:rsidRPr="001C0FBD">
        <w:t>POLICY REQUIREMENTS AND</w:t>
      </w:r>
      <w:r w:rsidR="00444206" w:rsidRPr="001C0FBD">
        <w:rPr>
          <w:spacing w:val="-1"/>
        </w:rPr>
        <w:t xml:space="preserve"> </w:t>
      </w:r>
      <w:r w:rsidR="00444206" w:rsidRPr="001C0FBD">
        <w:t>PROCEDURES</w:t>
      </w:r>
    </w:p>
    <w:p w14:paraId="33F7F159" w14:textId="60B507C7" w:rsidR="00C00D02" w:rsidRDefault="00C00D02" w:rsidP="00A10745">
      <w:pPr>
        <w:pStyle w:val="BodyText"/>
        <w:jc w:val="both"/>
      </w:pPr>
    </w:p>
    <w:p w14:paraId="632F5078" w14:textId="4436F4E4" w:rsidR="009D738A" w:rsidRDefault="00A10745" w:rsidP="005279D9">
      <w:pPr>
        <w:pStyle w:val="BodyText"/>
        <w:numPr>
          <w:ilvl w:val="1"/>
          <w:numId w:val="31"/>
        </w:numPr>
        <w:jc w:val="both"/>
      </w:pPr>
      <w:r>
        <w:t xml:space="preserve">The OHCG understand that its </w:t>
      </w:r>
      <w:r w:rsidR="00D03A85">
        <w:t>E</w:t>
      </w:r>
      <w:r>
        <w:t xml:space="preserve">mployees may be required to work overtime as a result of seasonal requirements or out of office hours activities. </w:t>
      </w:r>
      <w:r w:rsidR="00AA2CAC">
        <w:t>Employee accrued overtime</w:t>
      </w:r>
      <w:r w:rsidR="00D03A85">
        <w:t xml:space="preserve"> and the resulting </w:t>
      </w:r>
      <w:r w:rsidR="00AA2CAC">
        <w:t xml:space="preserve">TOIL </w:t>
      </w:r>
      <w:r w:rsidR="00D03A85">
        <w:t xml:space="preserve">balance </w:t>
      </w:r>
      <w:r w:rsidR="00AA2CAC">
        <w:t>represents a</w:t>
      </w:r>
      <w:r w:rsidR="00D03A85">
        <w:t xml:space="preserve"> financial</w:t>
      </w:r>
      <w:r w:rsidR="00AA2CAC">
        <w:t xml:space="preserve"> liability (wages) for the OHCG.</w:t>
      </w:r>
      <w:r w:rsidR="00535B88">
        <w:t xml:space="preserve"> Equally</w:t>
      </w:r>
      <w:r w:rsidR="00655CDD">
        <w:t>,</w:t>
      </w:r>
      <w:r w:rsidR="00535B88">
        <w:t xml:space="preserve"> it is understood that at times staff may manage their time and a negative TOIL balance may result. Flexibility in the OHCG workplace is important. </w:t>
      </w:r>
    </w:p>
    <w:p w14:paraId="0B82EF75" w14:textId="0B5DB5B5" w:rsidR="009D738A" w:rsidRDefault="00A10745" w:rsidP="005279D9">
      <w:pPr>
        <w:pStyle w:val="BodyText"/>
        <w:numPr>
          <w:ilvl w:val="1"/>
          <w:numId w:val="31"/>
        </w:numPr>
        <w:jc w:val="both"/>
      </w:pPr>
      <w:r>
        <w:t xml:space="preserve">Timesheets allow for the OHCG to be aware of the liability </w:t>
      </w:r>
      <w:r w:rsidR="00535B88">
        <w:t xml:space="preserve">(positive and negative TOIL balances) </w:t>
      </w:r>
      <w:r>
        <w:t xml:space="preserve">both for individual </w:t>
      </w:r>
      <w:r w:rsidR="00D03A85">
        <w:t>E</w:t>
      </w:r>
      <w:r>
        <w:t>mployees and cumulatively</w:t>
      </w:r>
      <w:r w:rsidR="00655CDD">
        <w:t xml:space="preserve"> for the organisations</w:t>
      </w:r>
      <w:r>
        <w:t xml:space="preserve">. </w:t>
      </w:r>
    </w:p>
    <w:p w14:paraId="347599FD" w14:textId="692FBF8E" w:rsidR="00765450" w:rsidRDefault="00765450" w:rsidP="005279D9">
      <w:pPr>
        <w:pStyle w:val="BodyText"/>
        <w:numPr>
          <w:ilvl w:val="1"/>
          <w:numId w:val="31"/>
        </w:numPr>
        <w:jc w:val="both"/>
      </w:pPr>
      <w:r>
        <w:t>TOIL Cap</w:t>
      </w:r>
      <w:r w:rsidR="00655CDD">
        <w:t>s</w:t>
      </w:r>
      <w:r>
        <w:t xml:space="preserve"> ha</w:t>
      </w:r>
      <w:r w:rsidR="00655CDD">
        <w:t>ve</w:t>
      </w:r>
      <w:r>
        <w:t xml:space="preserve"> been determined to: </w:t>
      </w:r>
    </w:p>
    <w:p w14:paraId="66771C8C" w14:textId="162035A6" w:rsidR="00765450" w:rsidRDefault="00765450" w:rsidP="00765450">
      <w:pPr>
        <w:pStyle w:val="BodyText"/>
        <w:numPr>
          <w:ilvl w:val="1"/>
          <w:numId w:val="29"/>
        </w:numPr>
        <w:jc w:val="both"/>
      </w:pPr>
      <w:r>
        <w:t>R</w:t>
      </w:r>
      <w:r w:rsidR="00A10745">
        <w:t xml:space="preserve">educe the </w:t>
      </w:r>
      <w:r>
        <w:t xml:space="preserve">liability </w:t>
      </w:r>
      <w:r w:rsidR="00A10745">
        <w:t>risk to the OHCG</w:t>
      </w:r>
      <w:r>
        <w:t xml:space="preserve">, </w:t>
      </w:r>
    </w:p>
    <w:p w14:paraId="62F36DDE" w14:textId="77777777" w:rsidR="00765450" w:rsidRDefault="00765450" w:rsidP="00765450">
      <w:pPr>
        <w:pStyle w:val="BodyText"/>
        <w:numPr>
          <w:ilvl w:val="1"/>
          <w:numId w:val="29"/>
        </w:numPr>
        <w:jc w:val="both"/>
      </w:pPr>
      <w:r>
        <w:t>A</w:t>
      </w:r>
      <w:r w:rsidR="00A10745">
        <w:t>llow for effective human resource and project management</w:t>
      </w:r>
      <w:r>
        <w:t>,</w:t>
      </w:r>
      <w:r w:rsidR="00A10745">
        <w:t xml:space="preserve"> and </w:t>
      </w:r>
    </w:p>
    <w:p w14:paraId="3F646D92" w14:textId="2510A34B" w:rsidR="00765450" w:rsidRDefault="00765450" w:rsidP="00765450">
      <w:pPr>
        <w:pStyle w:val="BodyText"/>
        <w:numPr>
          <w:ilvl w:val="1"/>
          <w:numId w:val="29"/>
        </w:numPr>
        <w:jc w:val="both"/>
      </w:pPr>
      <w:r>
        <w:t>E</w:t>
      </w:r>
      <w:r w:rsidR="00A10745">
        <w:t>nsure staff wellbeing and</w:t>
      </w:r>
      <w:r w:rsidR="00AA2CAC">
        <w:t xml:space="preserve"> effective</w:t>
      </w:r>
      <w:r w:rsidR="00A10745">
        <w:t xml:space="preserve"> workload management</w:t>
      </w:r>
      <w:r w:rsidR="009D738A">
        <w:t>.</w:t>
      </w:r>
    </w:p>
    <w:p w14:paraId="6DD12B9D" w14:textId="0A55331D" w:rsidR="009D738A" w:rsidRPr="00535B88" w:rsidRDefault="00765450" w:rsidP="005279D9">
      <w:pPr>
        <w:pStyle w:val="BodyText"/>
        <w:numPr>
          <w:ilvl w:val="1"/>
          <w:numId w:val="31"/>
        </w:numPr>
        <w:jc w:val="both"/>
      </w:pPr>
      <w:r>
        <w:t>The</w:t>
      </w:r>
      <w:r w:rsidR="00655CDD">
        <w:t xml:space="preserve"> </w:t>
      </w:r>
      <w:r w:rsidR="001E5F50">
        <w:t>overtime (positive)</w:t>
      </w:r>
      <w:r>
        <w:t xml:space="preserve"> OHCG </w:t>
      </w:r>
      <w:r w:rsidR="00A10745">
        <w:t xml:space="preserve">TOIL </w:t>
      </w:r>
      <w:r w:rsidR="00F13A06" w:rsidRPr="00C372CE">
        <w:rPr>
          <w:color w:val="000000" w:themeColor="text1"/>
        </w:rPr>
        <w:t>C</w:t>
      </w:r>
      <w:r w:rsidR="00A10745" w:rsidRPr="00C372CE">
        <w:rPr>
          <w:color w:val="000000" w:themeColor="text1"/>
        </w:rPr>
        <w:t>ap</w:t>
      </w:r>
      <w:r w:rsidR="00F13A06" w:rsidRPr="00C372CE">
        <w:rPr>
          <w:color w:val="000000" w:themeColor="text1"/>
        </w:rPr>
        <w:t xml:space="preserve"> is</w:t>
      </w:r>
      <w:r w:rsidR="00A10745" w:rsidRPr="00C372CE">
        <w:rPr>
          <w:color w:val="000000" w:themeColor="text1"/>
        </w:rPr>
        <w:t xml:space="preserve"> </w:t>
      </w:r>
      <w:r w:rsidR="00BD2621" w:rsidRPr="00C372CE">
        <w:rPr>
          <w:color w:val="000000" w:themeColor="text1"/>
        </w:rPr>
        <w:t>two (2)</w:t>
      </w:r>
      <w:r w:rsidR="00A10745" w:rsidRPr="00C372CE">
        <w:rPr>
          <w:color w:val="000000" w:themeColor="text1"/>
        </w:rPr>
        <w:t xml:space="preserve"> </w:t>
      </w:r>
      <w:r w:rsidR="00535B88" w:rsidRPr="00C372CE">
        <w:rPr>
          <w:color w:val="000000" w:themeColor="text1"/>
        </w:rPr>
        <w:t xml:space="preserve">weeks </w:t>
      </w:r>
      <w:r w:rsidR="00A10745" w:rsidRPr="00C372CE">
        <w:rPr>
          <w:color w:val="000000" w:themeColor="text1"/>
        </w:rPr>
        <w:t xml:space="preserve">of the </w:t>
      </w:r>
      <w:r w:rsidR="00D03A85">
        <w:rPr>
          <w:color w:val="000000" w:themeColor="text1"/>
        </w:rPr>
        <w:t>E</w:t>
      </w:r>
      <w:r w:rsidR="00AA2CAC" w:rsidRPr="00C372CE">
        <w:rPr>
          <w:color w:val="000000" w:themeColor="text1"/>
        </w:rPr>
        <w:t>m</w:t>
      </w:r>
      <w:r w:rsidR="00AA2CAC">
        <w:t>ployee’s</w:t>
      </w:r>
      <w:r w:rsidR="00A10745">
        <w:t xml:space="preserve"> full time equivalent</w:t>
      </w:r>
      <w:r w:rsidR="00C372CE">
        <w:t xml:space="preserve"> (FTE)</w:t>
      </w:r>
      <w:r w:rsidR="00A10745">
        <w:t xml:space="preserve"> week (as indicated in the</w:t>
      </w:r>
      <w:r w:rsidR="00C372CE">
        <w:t>ir</w:t>
      </w:r>
      <w:r w:rsidR="00A10745">
        <w:t xml:space="preserve"> Employment Agreement). </w:t>
      </w:r>
      <w:r w:rsidR="00A10745" w:rsidRPr="00C372CE">
        <w:rPr>
          <w:color w:val="000000" w:themeColor="text1"/>
        </w:rPr>
        <w:t xml:space="preserve">For example, an </w:t>
      </w:r>
      <w:r w:rsidR="00D03A85">
        <w:rPr>
          <w:color w:val="000000" w:themeColor="text1"/>
        </w:rPr>
        <w:t>E</w:t>
      </w:r>
      <w:r w:rsidR="00A10745" w:rsidRPr="00C372CE">
        <w:rPr>
          <w:color w:val="000000" w:themeColor="text1"/>
        </w:rPr>
        <w:t>mployee who is employed at 0.4</w:t>
      </w:r>
      <w:r w:rsidR="00C372CE" w:rsidRPr="00C372CE">
        <w:rPr>
          <w:color w:val="000000" w:themeColor="text1"/>
        </w:rPr>
        <w:t xml:space="preserve"> </w:t>
      </w:r>
      <w:r w:rsidR="00A10745" w:rsidRPr="00C372CE">
        <w:rPr>
          <w:color w:val="000000" w:themeColor="text1"/>
        </w:rPr>
        <w:t>FTE can only accrue overtime/ TOIL</w:t>
      </w:r>
      <w:r w:rsidR="00F13A06" w:rsidRPr="00C372CE">
        <w:rPr>
          <w:color w:val="000000" w:themeColor="text1"/>
        </w:rPr>
        <w:t xml:space="preserve"> to a maximum of </w:t>
      </w:r>
      <w:r w:rsidR="00C372CE">
        <w:rPr>
          <w:color w:val="000000" w:themeColor="text1"/>
        </w:rPr>
        <w:t>four</w:t>
      </w:r>
      <w:r w:rsidR="00F13A06" w:rsidRPr="00C372CE">
        <w:rPr>
          <w:color w:val="000000" w:themeColor="text1"/>
        </w:rPr>
        <w:t xml:space="preserve"> (</w:t>
      </w:r>
      <w:r w:rsidR="00C372CE">
        <w:rPr>
          <w:color w:val="000000" w:themeColor="text1"/>
        </w:rPr>
        <w:t>4</w:t>
      </w:r>
      <w:r w:rsidR="00F13A06" w:rsidRPr="00C372CE">
        <w:rPr>
          <w:color w:val="000000" w:themeColor="text1"/>
        </w:rPr>
        <w:t>) working days</w:t>
      </w:r>
      <w:r w:rsidR="00C372CE">
        <w:rPr>
          <w:color w:val="000000" w:themeColor="text1"/>
        </w:rPr>
        <w:t xml:space="preserve"> at any one time</w:t>
      </w:r>
      <w:r w:rsidR="00F13A06" w:rsidRPr="00C372CE">
        <w:rPr>
          <w:color w:val="000000" w:themeColor="text1"/>
        </w:rPr>
        <w:t xml:space="preserve">. </w:t>
      </w:r>
    </w:p>
    <w:p w14:paraId="2C5EEE0E" w14:textId="0196A23A" w:rsidR="009D738A" w:rsidRDefault="00535B88" w:rsidP="005279D9">
      <w:pPr>
        <w:pStyle w:val="BodyText"/>
        <w:numPr>
          <w:ilvl w:val="1"/>
          <w:numId w:val="31"/>
        </w:numPr>
        <w:jc w:val="both"/>
      </w:pPr>
      <w:r>
        <w:t xml:space="preserve">The </w:t>
      </w:r>
      <w:r w:rsidR="001E5F50">
        <w:t>undertime (</w:t>
      </w:r>
      <w:r w:rsidR="00655CDD">
        <w:t>negative</w:t>
      </w:r>
      <w:r w:rsidR="001E5F50">
        <w:t>)</w:t>
      </w:r>
      <w:r w:rsidR="00655CDD">
        <w:t xml:space="preserve"> OHCG T</w:t>
      </w:r>
      <w:r>
        <w:t xml:space="preserve">OIL Cap is one (1) week of </w:t>
      </w:r>
      <w:r w:rsidRPr="009D738A">
        <w:rPr>
          <w:color w:val="000000" w:themeColor="text1"/>
        </w:rPr>
        <w:t>the Em</w:t>
      </w:r>
      <w:r>
        <w:t xml:space="preserve">ployee’s full time equivalent (FTE) week (as indicated in their Employment Agreement). </w:t>
      </w:r>
      <w:r w:rsidRPr="009D738A">
        <w:rPr>
          <w:color w:val="000000" w:themeColor="text1"/>
        </w:rPr>
        <w:t>For example, an Employee who is employed at 0.4 FTE can only accrue undertime/ negative TOIL to a maximum of two (2) working days at any one time.</w:t>
      </w:r>
    </w:p>
    <w:p w14:paraId="6C643D0A" w14:textId="37F15324" w:rsidR="00A10745" w:rsidRDefault="00F13A06" w:rsidP="005279D9">
      <w:pPr>
        <w:pStyle w:val="BodyText"/>
        <w:numPr>
          <w:ilvl w:val="1"/>
          <w:numId w:val="31"/>
        </w:numPr>
        <w:jc w:val="both"/>
      </w:pPr>
      <w:r>
        <w:t xml:space="preserve">If an </w:t>
      </w:r>
      <w:r w:rsidR="00D03A85">
        <w:t>E</w:t>
      </w:r>
      <w:r>
        <w:t xml:space="preserve">mployee has </w:t>
      </w:r>
      <w:r w:rsidR="005F27F9">
        <w:t xml:space="preserve">a </w:t>
      </w:r>
      <w:r>
        <w:t xml:space="preserve">TOIL </w:t>
      </w:r>
      <w:r w:rsidR="005F27F9">
        <w:t xml:space="preserve">balance </w:t>
      </w:r>
      <w:r>
        <w:t xml:space="preserve">approaching </w:t>
      </w:r>
      <w:r w:rsidR="00655CDD">
        <w:t xml:space="preserve">either a negative or positive </w:t>
      </w:r>
      <w:r>
        <w:t>TOIL Cap</w:t>
      </w:r>
      <w:r w:rsidR="00655CDD">
        <w:t xml:space="preserve">, </w:t>
      </w:r>
      <w:r>
        <w:t xml:space="preserve">they must seek approval from their </w:t>
      </w:r>
      <w:proofErr w:type="gramStart"/>
      <w:r>
        <w:t>Supervisor</w:t>
      </w:r>
      <w:proofErr w:type="gramEnd"/>
      <w:r>
        <w:t xml:space="preserve"> to breach the TOIL Cap</w:t>
      </w:r>
      <w:r w:rsidR="00765450">
        <w:t>. Approvals for breaching the TOIL Cap</w:t>
      </w:r>
      <w:r>
        <w:t xml:space="preserve"> </w:t>
      </w:r>
      <w:r w:rsidR="00765450">
        <w:t>are</w:t>
      </w:r>
      <w:r>
        <w:t xml:space="preserve"> reserved for exceptional circumstances and all </w:t>
      </w:r>
      <w:r w:rsidR="00D03A85">
        <w:t>E</w:t>
      </w:r>
      <w:r>
        <w:t xml:space="preserve">mployees are encouraged to manage their work hours to remain below the TOIL Cap. </w:t>
      </w:r>
      <w:r w:rsidR="00A10745">
        <w:t xml:space="preserve"> </w:t>
      </w:r>
    </w:p>
    <w:p w14:paraId="3663D4B8" w14:textId="77777777" w:rsidR="00401DC1" w:rsidRPr="00B04DE8" w:rsidRDefault="00401DC1" w:rsidP="00A10745">
      <w:pPr>
        <w:pStyle w:val="BodyText"/>
        <w:jc w:val="both"/>
      </w:pPr>
    </w:p>
    <w:p w14:paraId="71413423" w14:textId="7FAFD98A" w:rsidR="0030406E" w:rsidRDefault="009938D4" w:rsidP="00F21703">
      <w:pPr>
        <w:pStyle w:val="Heading3"/>
      </w:pPr>
      <w:r>
        <w:t xml:space="preserve">COMPLIANCE WITH THIS POLICY </w:t>
      </w:r>
    </w:p>
    <w:p w14:paraId="18396F42" w14:textId="6E6DEEA5" w:rsidR="009938D4" w:rsidRDefault="009938D4" w:rsidP="00F21703"/>
    <w:p w14:paraId="5AB384D1" w14:textId="2B185918" w:rsidR="009F2BBC" w:rsidRDefault="009938D4" w:rsidP="00F13A06">
      <w:pPr>
        <w:widowControl/>
        <w:numPr>
          <w:ilvl w:val="0"/>
          <w:numId w:val="11"/>
        </w:numPr>
        <w:autoSpaceDE/>
        <w:autoSpaceDN/>
        <w:ind w:left="426" w:hanging="426"/>
        <w:jc w:val="both"/>
        <w:rPr>
          <w:rFonts w:cstheme="minorHAnsi"/>
        </w:rPr>
      </w:pPr>
      <w:bookmarkStart w:id="2" w:name="_Hlk523310877"/>
      <w:r w:rsidRPr="00EB5F90">
        <w:rPr>
          <w:rFonts w:cstheme="minorHAnsi"/>
        </w:rPr>
        <w:t xml:space="preserve">Failure to comply with this policy, and any resulting breaches </w:t>
      </w:r>
      <w:r w:rsidR="009F2BBC" w:rsidRPr="00C02AE2">
        <w:rPr>
          <w:rFonts w:cstheme="minorHAnsi"/>
        </w:rPr>
        <w:t xml:space="preserve">will be treated as a serious matter and may result in disciplinary action including termination of employment. </w:t>
      </w:r>
    </w:p>
    <w:p w14:paraId="39A153D9" w14:textId="72134B24" w:rsidR="009938D4" w:rsidRDefault="009938D4" w:rsidP="00F13A06">
      <w:pPr>
        <w:widowControl/>
        <w:numPr>
          <w:ilvl w:val="0"/>
          <w:numId w:val="11"/>
        </w:numPr>
        <w:autoSpaceDE/>
        <w:autoSpaceDN/>
        <w:ind w:left="426" w:hanging="426"/>
        <w:jc w:val="both"/>
        <w:rPr>
          <w:rFonts w:cstheme="minorHAnsi"/>
        </w:rPr>
      </w:pPr>
      <w:r w:rsidRPr="00EB5F90">
        <w:rPr>
          <w:rFonts w:cstheme="minorHAnsi"/>
        </w:rPr>
        <w:t xml:space="preserve">If there is anything contained within </w:t>
      </w:r>
      <w:r>
        <w:rPr>
          <w:rFonts w:cstheme="minorHAnsi"/>
        </w:rPr>
        <w:t xml:space="preserve">this policy </w:t>
      </w:r>
      <w:r w:rsidRPr="00EB5F90">
        <w:rPr>
          <w:rFonts w:cstheme="minorHAnsi"/>
        </w:rPr>
        <w:t xml:space="preserve">which is unclear, </w:t>
      </w:r>
      <w:r w:rsidR="00D03A85">
        <w:rPr>
          <w:rFonts w:cstheme="minorHAnsi"/>
        </w:rPr>
        <w:t>E</w:t>
      </w:r>
      <w:r w:rsidR="005C10A6">
        <w:rPr>
          <w:rFonts w:cstheme="minorHAnsi"/>
        </w:rPr>
        <w:t>mployees</w:t>
      </w:r>
      <w:r w:rsidRPr="00EB5F90">
        <w:rPr>
          <w:rFonts w:cstheme="minorHAnsi"/>
        </w:rPr>
        <w:t xml:space="preserve"> are directed to the OHCG Chair for clarification. </w:t>
      </w:r>
    </w:p>
    <w:p w14:paraId="7D44CC21" w14:textId="6F4C3B48" w:rsidR="009938D4" w:rsidRPr="00C02AE2" w:rsidRDefault="009938D4" w:rsidP="00F13A06">
      <w:pPr>
        <w:widowControl/>
        <w:numPr>
          <w:ilvl w:val="0"/>
          <w:numId w:val="11"/>
        </w:numPr>
        <w:autoSpaceDE/>
        <w:autoSpaceDN/>
        <w:ind w:left="426" w:hanging="426"/>
        <w:jc w:val="both"/>
        <w:rPr>
          <w:rFonts w:cstheme="minorHAnsi"/>
        </w:rPr>
      </w:pPr>
      <w:r w:rsidRPr="00C02AE2">
        <w:rPr>
          <w:rFonts w:cstheme="minorHAnsi"/>
        </w:rPr>
        <w:t xml:space="preserve">OHCG reserves the right to vary, replace or remove any of the procedures and policies outlined in this </w:t>
      </w:r>
      <w:r>
        <w:rPr>
          <w:rFonts w:cstheme="minorHAnsi"/>
        </w:rPr>
        <w:t>polic</w:t>
      </w:r>
      <w:r w:rsidRPr="00C02AE2">
        <w:rPr>
          <w:rFonts w:cstheme="minorHAnsi"/>
        </w:rPr>
        <w:t xml:space="preserve">y at any time. In such an event, all </w:t>
      </w:r>
      <w:r w:rsidR="00D03A85">
        <w:rPr>
          <w:rFonts w:cstheme="minorHAnsi"/>
        </w:rPr>
        <w:t>E</w:t>
      </w:r>
      <w:r w:rsidR="005C10A6">
        <w:rPr>
          <w:rFonts w:cstheme="minorHAnsi"/>
        </w:rPr>
        <w:t>mployees</w:t>
      </w:r>
      <w:r w:rsidRPr="00C02AE2">
        <w:rPr>
          <w:rFonts w:cstheme="minorHAnsi"/>
        </w:rPr>
        <w:t xml:space="preserve"> shall be informed of the changes.</w:t>
      </w:r>
    </w:p>
    <w:p w14:paraId="57EF385D" w14:textId="4D121E9E" w:rsidR="009C148B" w:rsidRDefault="009C148B" w:rsidP="00F21703">
      <w:pPr>
        <w:jc w:val="both"/>
        <w:rPr>
          <w:rFonts w:cstheme="minorHAnsi"/>
        </w:rPr>
      </w:pPr>
    </w:p>
    <w:p w14:paraId="4B2D6283" w14:textId="27292551" w:rsidR="001150DA" w:rsidRDefault="001150DA" w:rsidP="00F21703">
      <w:pPr>
        <w:jc w:val="both"/>
        <w:rPr>
          <w:rFonts w:cstheme="minorHAnsi"/>
        </w:rPr>
      </w:pPr>
    </w:p>
    <w:p w14:paraId="70895337" w14:textId="5F4A470F" w:rsidR="001150DA" w:rsidRDefault="001150DA" w:rsidP="00F21703">
      <w:pPr>
        <w:jc w:val="both"/>
        <w:rPr>
          <w:rFonts w:cstheme="minorHAnsi"/>
        </w:rPr>
      </w:pPr>
    </w:p>
    <w:p w14:paraId="3F9501CF" w14:textId="77777777" w:rsidR="001150DA" w:rsidRDefault="001150DA" w:rsidP="00F21703">
      <w:pPr>
        <w:jc w:val="both"/>
        <w:rPr>
          <w:rFonts w:cstheme="minorHAnsi"/>
        </w:rPr>
      </w:pPr>
    </w:p>
    <w:p w14:paraId="7728EF08" w14:textId="77777777" w:rsidR="009D738A" w:rsidRDefault="009D738A" w:rsidP="00F21703">
      <w:pPr>
        <w:jc w:val="both"/>
        <w:rPr>
          <w:rFonts w:cstheme="minorHAnsi"/>
        </w:rPr>
      </w:pPr>
    </w:p>
    <w:p w14:paraId="54BDB193" w14:textId="4703E108" w:rsidR="00164520" w:rsidRPr="00100771" w:rsidRDefault="00164520" w:rsidP="00F21703">
      <w:pPr>
        <w:pStyle w:val="Heading3"/>
      </w:pPr>
      <w:bookmarkStart w:id="3" w:name="_Hlk22733951"/>
      <w:r w:rsidRPr="00100771">
        <w:lastRenderedPageBreak/>
        <w:t>POLICY VERSION AND REVISION INFORMATION</w:t>
      </w:r>
    </w:p>
    <w:bookmarkEnd w:id="2"/>
    <w:p w14:paraId="0C522EEB" w14:textId="77777777" w:rsidR="00164520" w:rsidRPr="004235FE" w:rsidRDefault="00164520" w:rsidP="00F21703">
      <w:pPr>
        <w:pStyle w:val="BodyText"/>
      </w:pPr>
    </w:p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711"/>
      </w:tblGrid>
      <w:tr w:rsidR="00164520" w:rsidRPr="004235FE" w14:paraId="6AB164A2" w14:textId="77777777" w:rsidTr="0067243C">
        <w:trPr>
          <w:trHeight w:val="328"/>
        </w:trPr>
        <w:tc>
          <w:tcPr>
            <w:tcW w:w="2694" w:type="dxa"/>
          </w:tcPr>
          <w:p w14:paraId="47DEB108" w14:textId="77777777" w:rsidR="00164520" w:rsidRPr="00511799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3310845"/>
            <w:r w:rsidRPr="00511799">
              <w:rPr>
                <w:rFonts w:asciiTheme="minorHAnsi" w:hAnsiTheme="minorHAnsi" w:cstheme="minorHAnsi"/>
                <w:b/>
              </w:rPr>
              <w:t>Policy Number:</w:t>
            </w:r>
          </w:p>
        </w:tc>
        <w:tc>
          <w:tcPr>
            <w:tcW w:w="6711" w:type="dxa"/>
          </w:tcPr>
          <w:p w14:paraId="453A5A92" w14:textId="7111AE11" w:rsidR="00164520" w:rsidRPr="00511799" w:rsidRDefault="008B1C36" w:rsidP="00573341">
            <w:pPr>
              <w:pStyle w:val="TableParagraph"/>
              <w:ind w:left="136" w:right="-202"/>
              <w:jc w:val="both"/>
              <w:rPr>
                <w:rFonts w:asciiTheme="minorHAnsi" w:hAnsiTheme="minorHAnsi" w:cstheme="minorHAnsi"/>
              </w:rPr>
            </w:pPr>
            <w:r w:rsidRPr="00511799">
              <w:rPr>
                <w:rFonts w:asciiTheme="minorHAnsi" w:hAnsiTheme="minorHAnsi" w:cstheme="minorHAnsi"/>
              </w:rPr>
              <w:t>OHCG00</w:t>
            </w:r>
            <w:r w:rsidR="005C10A6">
              <w:rPr>
                <w:rFonts w:asciiTheme="minorHAnsi" w:hAnsiTheme="minorHAnsi" w:cstheme="minorHAnsi"/>
              </w:rPr>
              <w:t>5</w:t>
            </w:r>
          </w:p>
        </w:tc>
      </w:tr>
      <w:tr w:rsidR="00164520" w:rsidRPr="004235FE" w14:paraId="675CADB0" w14:textId="77777777" w:rsidTr="0067243C">
        <w:trPr>
          <w:trHeight w:val="330"/>
        </w:trPr>
        <w:tc>
          <w:tcPr>
            <w:tcW w:w="2694" w:type="dxa"/>
          </w:tcPr>
          <w:p w14:paraId="326E93A3" w14:textId="77777777" w:rsidR="00164520" w:rsidRPr="00511799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  <w:b/>
              </w:rPr>
            </w:pPr>
            <w:r w:rsidRPr="00511799">
              <w:rPr>
                <w:rFonts w:asciiTheme="minorHAnsi" w:hAnsiTheme="minorHAnsi" w:cstheme="minorHAnsi"/>
                <w:b/>
              </w:rPr>
              <w:t>Policy Title:</w:t>
            </w:r>
          </w:p>
        </w:tc>
        <w:tc>
          <w:tcPr>
            <w:tcW w:w="6711" w:type="dxa"/>
          </w:tcPr>
          <w:p w14:paraId="007DFFFB" w14:textId="7420D85D" w:rsidR="00511799" w:rsidRPr="00511799" w:rsidRDefault="005C10A6" w:rsidP="00573341">
            <w:pPr>
              <w:ind w:left="136" w:right="3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Timesheet and TOIL</w:t>
            </w:r>
            <w:r w:rsidR="00511799" w:rsidRPr="0051179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Policy </w:t>
            </w:r>
            <w:r w:rsidR="00EB296E">
              <w:rPr>
                <w:rFonts w:asciiTheme="minorHAnsi" w:hAnsiTheme="minorHAnsi" w:cstheme="minorHAnsi"/>
                <w:bCs/>
                <w:color w:val="000000" w:themeColor="text1"/>
              </w:rPr>
              <w:t>&amp;</w:t>
            </w:r>
            <w:r w:rsidR="00511799" w:rsidRPr="0051179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Procedures</w:t>
            </w:r>
          </w:p>
          <w:p w14:paraId="5722A68F" w14:textId="2DCF3055" w:rsidR="00164520" w:rsidRPr="00511799" w:rsidRDefault="00164520" w:rsidP="00573341">
            <w:pPr>
              <w:pStyle w:val="TableParagraph"/>
              <w:ind w:left="136" w:right="-202" w:firstLine="171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64520" w:rsidRPr="004235FE" w14:paraId="3997E93B" w14:textId="77777777" w:rsidTr="0067243C">
        <w:trPr>
          <w:trHeight w:val="330"/>
        </w:trPr>
        <w:tc>
          <w:tcPr>
            <w:tcW w:w="2694" w:type="dxa"/>
          </w:tcPr>
          <w:p w14:paraId="69802ECC" w14:textId="77777777" w:rsidR="00164520" w:rsidRPr="004235FE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  <w:b/>
              </w:rPr>
            </w:pPr>
            <w:r w:rsidRPr="004235FE">
              <w:rPr>
                <w:rFonts w:asciiTheme="minorHAnsi" w:hAnsiTheme="minorHAnsi" w:cstheme="minorHAnsi"/>
                <w:b/>
              </w:rPr>
              <w:t>Current version:</w:t>
            </w:r>
          </w:p>
        </w:tc>
        <w:tc>
          <w:tcPr>
            <w:tcW w:w="6711" w:type="dxa"/>
          </w:tcPr>
          <w:p w14:paraId="75903D98" w14:textId="0ADA3183" w:rsidR="00164520" w:rsidRPr="004235FE" w:rsidRDefault="009D738A" w:rsidP="00573341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164520" w:rsidRPr="004235FE" w14:paraId="14A5A423" w14:textId="77777777" w:rsidTr="00573341">
        <w:trPr>
          <w:trHeight w:val="328"/>
        </w:trPr>
        <w:tc>
          <w:tcPr>
            <w:tcW w:w="2694" w:type="dxa"/>
          </w:tcPr>
          <w:p w14:paraId="13DB3D66" w14:textId="77777777" w:rsidR="00164520" w:rsidRPr="004235FE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  <w:b/>
              </w:rPr>
            </w:pPr>
            <w:r w:rsidRPr="004235FE">
              <w:rPr>
                <w:rFonts w:asciiTheme="minorHAnsi" w:hAnsiTheme="minorHAnsi" w:cstheme="minorHAnsi"/>
                <w:b/>
              </w:rPr>
              <w:t>Policy Authorised by:</w:t>
            </w:r>
          </w:p>
        </w:tc>
        <w:tc>
          <w:tcPr>
            <w:tcW w:w="6711" w:type="dxa"/>
          </w:tcPr>
          <w:p w14:paraId="5CCF3809" w14:textId="011E7E55" w:rsidR="00164520" w:rsidRPr="004235FE" w:rsidRDefault="00A94A81" w:rsidP="00573341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Heather Adams</w:t>
            </w:r>
          </w:p>
        </w:tc>
      </w:tr>
      <w:tr w:rsidR="00164520" w:rsidRPr="004235FE" w14:paraId="57BB76DF" w14:textId="77777777" w:rsidTr="00573341">
        <w:trPr>
          <w:trHeight w:val="330"/>
        </w:trPr>
        <w:tc>
          <w:tcPr>
            <w:tcW w:w="2694" w:type="dxa"/>
          </w:tcPr>
          <w:p w14:paraId="319697A6" w14:textId="77777777" w:rsidR="00164520" w:rsidRPr="004235FE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  <w:b/>
              </w:rPr>
            </w:pPr>
            <w:r w:rsidRPr="004235FE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6711" w:type="dxa"/>
          </w:tcPr>
          <w:p w14:paraId="79449956" w14:textId="6286540E" w:rsidR="00164520" w:rsidRPr="004235FE" w:rsidRDefault="00A94A81" w:rsidP="00573341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</w:tr>
      <w:tr w:rsidR="00164520" w:rsidRPr="004235FE" w14:paraId="382FE55A" w14:textId="77777777" w:rsidTr="00573341">
        <w:trPr>
          <w:trHeight w:val="330"/>
        </w:trPr>
        <w:tc>
          <w:tcPr>
            <w:tcW w:w="2694" w:type="dxa"/>
          </w:tcPr>
          <w:p w14:paraId="4DCC21F3" w14:textId="77777777" w:rsidR="00164520" w:rsidRPr="004235FE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  <w:b/>
              </w:rPr>
            </w:pPr>
            <w:r w:rsidRPr="004235FE">
              <w:rPr>
                <w:rFonts w:asciiTheme="minorHAnsi" w:hAnsiTheme="minorHAnsi" w:cstheme="minorHAnsi"/>
                <w:b/>
              </w:rPr>
              <w:t>Original issue date:</w:t>
            </w:r>
          </w:p>
        </w:tc>
        <w:tc>
          <w:tcPr>
            <w:tcW w:w="6711" w:type="dxa"/>
          </w:tcPr>
          <w:p w14:paraId="2B3F586C" w14:textId="53950801" w:rsidR="00164520" w:rsidRPr="004235FE" w:rsidRDefault="00A94A81" w:rsidP="00573341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23/4/2020</w:t>
            </w:r>
          </w:p>
        </w:tc>
      </w:tr>
      <w:tr w:rsidR="00164520" w:rsidRPr="004235FE" w14:paraId="72512DF2" w14:textId="77777777" w:rsidTr="00573341">
        <w:trPr>
          <w:trHeight w:val="328"/>
        </w:trPr>
        <w:tc>
          <w:tcPr>
            <w:tcW w:w="2694" w:type="dxa"/>
          </w:tcPr>
          <w:p w14:paraId="207E776D" w14:textId="77777777" w:rsidR="00164520" w:rsidRPr="004235FE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  <w:b/>
              </w:rPr>
            </w:pPr>
            <w:r w:rsidRPr="004235FE">
              <w:rPr>
                <w:rFonts w:asciiTheme="minorHAnsi" w:hAnsiTheme="minorHAnsi" w:cstheme="minorHAnsi"/>
                <w:b/>
              </w:rPr>
              <w:t>Policy Maintained by:</w:t>
            </w:r>
          </w:p>
        </w:tc>
        <w:tc>
          <w:tcPr>
            <w:tcW w:w="6711" w:type="dxa"/>
          </w:tcPr>
          <w:p w14:paraId="2EB8603F" w14:textId="6FAA2908" w:rsidR="00164520" w:rsidRPr="004235FE" w:rsidRDefault="009D738A" w:rsidP="00573341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OHCG Secretary</w:t>
            </w:r>
          </w:p>
        </w:tc>
      </w:tr>
      <w:tr w:rsidR="00AB29E6" w:rsidRPr="004235FE" w14:paraId="4C539D4E" w14:textId="77777777" w:rsidTr="0067243C">
        <w:trPr>
          <w:trHeight w:val="328"/>
        </w:trPr>
        <w:tc>
          <w:tcPr>
            <w:tcW w:w="2694" w:type="dxa"/>
          </w:tcPr>
          <w:p w14:paraId="2F5C8DAF" w14:textId="77777777" w:rsidR="00AB29E6" w:rsidRPr="004235FE" w:rsidRDefault="00AB29E6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  <w:b/>
              </w:rPr>
            </w:pPr>
            <w:r w:rsidRPr="004235FE">
              <w:rPr>
                <w:rFonts w:asciiTheme="minorHAnsi" w:hAnsiTheme="minorHAnsi" w:cstheme="minorHAnsi"/>
                <w:b/>
              </w:rPr>
              <w:t>Reference Document/s:</w:t>
            </w:r>
          </w:p>
        </w:tc>
        <w:tc>
          <w:tcPr>
            <w:tcW w:w="6711" w:type="dxa"/>
          </w:tcPr>
          <w:p w14:paraId="7846B9D2" w14:textId="6BC2BEFF" w:rsidR="00AB29E6" w:rsidRPr="00FB5CE3" w:rsidRDefault="00573341" w:rsidP="00573341">
            <w:pPr>
              <w:pStyle w:val="ListParagraph"/>
              <w:widowControl/>
              <w:autoSpaceDE/>
              <w:autoSpaceDN/>
              <w:ind w:left="136" w:firstLine="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Employee contracts</w:t>
            </w:r>
          </w:p>
        </w:tc>
      </w:tr>
      <w:tr w:rsidR="00164520" w:rsidRPr="004235FE" w14:paraId="6639524A" w14:textId="77777777" w:rsidTr="0067243C">
        <w:trPr>
          <w:trHeight w:val="330"/>
        </w:trPr>
        <w:tc>
          <w:tcPr>
            <w:tcW w:w="9405" w:type="dxa"/>
            <w:gridSpan w:val="2"/>
          </w:tcPr>
          <w:p w14:paraId="3EC6A874" w14:textId="77777777" w:rsidR="00164520" w:rsidRPr="004235FE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</w:rPr>
            </w:pPr>
          </w:p>
        </w:tc>
      </w:tr>
      <w:tr w:rsidR="00164520" w:rsidRPr="004235FE" w14:paraId="54387E3B" w14:textId="77777777" w:rsidTr="0067243C">
        <w:trPr>
          <w:trHeight w:val="330"/>
        </w:trPr>
        <w:tc>
          <w:tcPr>
            <w:tcW w:w="2694" w:type="dxa"/>
          </w:tcPr>
          <w:p w14:paraId="4016CD28" w14:textId="77777777" w:rsidR="00164520" w:rsidRPr="004235FE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  <w:b/>
              </w:rPr>
            </w:pPr>
            <w:r w:rsidRPr="004235FE">
              <w:rPr>
                <w:rFonts w:asciiTheme="minorHAnsi" w:hAnsiTheme="minorHAnsi" w:cstheme="minorHAnsi"/>
                <w:b/>
              </w:rPr>
              <w:t>Approved by:</w:t>
            </w:r>
          </w:p>
        </w:tc>
        <w:tc>
          <w:tcPr>
            <w:tcW w:w="6711" w:type="dxa"/>
          </w:tcPr>
          <w:p w14:paraId="45C93D11" w14:textId="1C456759" w:rsidR="00164520" w:rsidRPr="004235FE" w:rsidRDefault="00A94A81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OHCG Management Committee</w:t>
            </w:r>
          </w:p>
        </w:tc>
      </w:tr>
      <w:tr w:rsidR="00164520" w:rsidRPr="004235FE" w14:paraId="5888F942" w14:textId="77777777" w:rsidTr="0067243C">
        <w:trPr>
          <w:trHeight w:val="329"/>
        </w:trPr>
        <w:tc>
          <w:tcPr>
            <w:tcW w:w="2694" w:type="dxa"/>
          </w:tcPr>
          <w:p w14:paraId="164F7B19" w14:textId="77777777" w:rsidR="00164520" w:rsidRPr="004235FE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  <w:b/>
              </w:rPr>
            </w:pPr>
            <w:r w:rsidRPr="004235FE">
              <w:rPr>
                <w:rFonts w:asciiTheme="minorHAnsi" w:hAnsiTheme="minorHAnsi" w:cstheme="minorHAnsi"/>
                <w:b/>
              </w:rPr>
              <w:t>Approval date:</w:t>
            </w:r>
          </w:p>
        </w:tc>
        <w:tc>
          <w:tcPr>
            <w:tcW w:w="6711" w:type="dxa"/>
          </w:tcPr>
          <w:p w14:paraId="02322383" w14:textId="6DF51752" w:rsidR="00164520" w:rsidRPr="004235FE" w:rsidRDefault="00941DFA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Pr="005279D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August 2021</w:t>
            </w:r>
          </w:p>
        </w:tc>
      </w:tr>
      <w:tr w:rsidR="00164520" w:rsidRPr="004235FE" w14:paraId="3DFCD7AB" w14:textId="77777777" w:rsidTr="0067243C">
        <w:trPr>
          <w:trHeight w:val="330"/>
        </w:trPr>
        <w:tc>
          <w:tcPr>
            <w:tcW w:w="9405" w:type="dxa"/>
            <w:gridSpan w:val="2"/>
          </w:tcPr>
          <w:p w14:paraId="19CF3A50" w14:textId="77777777" w:rsidR="00164520" w:rsidRPr="004235FE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</w:rPr>
            </w:pPr>
          </w:p>
        </w:tc>
      </w:tr>
      <w:tr w:rsidR="00164520" w:rsidRPr="004235FE" w14:paraId="75E73179" w14:textId="77777777" w:rsidTr="0067243C">
        <w:trPr>
          <w:trHeight w:val="330"/>
        </w:trPr>
        <w:tc>
          <w:tcPr>
            <w:tcW w:w="2694" w:type="dxa"/>
          </w:tcPr>
          <w:p w14:paraId="27EA9556" w14:textId="77777777" w:rsidR="00164520" w:rsidRPr="004235FE" w:rsidRDefault="00164520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  <w:b/>
              </w:rPr>
            </w:pPr>
            <w:r w:rsidRPr="004235FE">
              <w:rPr>
                <w:rFonts w:asciiTheme="minorHAnsi" w:hAnsiTheme="minorHAnsi" w:cstheme="minorHAnsi"/>
                <w:b/>
              </w:rPr>
              <w:t>Review date:</w:t>
            </w:r>
          </w:p>
        </w:tc>
        <w:tc>
          <w:tcPr>
            <w:tcW w:w="6711" w:type="dxa"/>
          </w:tcPr>
          <w:p w14:paraId="6D6FD264" w14:textId="54EEB63D" w:rsidR="00164520" w:rsidRPr="004235FE" w:rsidRDefault="00941DFA" w:rsidP="00F21703">
            <w:pPr>
              <w:pStyle w:val="TableParagraph"/>
              <w:ind w:right="-202" w:firstLine="1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2022</w:t>
            </w:r>
          </w:p>
        </w:tc>
      </w:tr>
      <w:bookmarkEnd w:id="3"/>
      <w:bookmarkEnd w:id="4"/>
    </w:tbl>
    <w:p w14:paraId="468B3BED" w14:textId="77777777" w:rsidR="00AA2CAC" w:rsidRDefault="00AA2CAC" w:rsidP="00AA2CAC">
      <w:pPr>
        <w:pStyle w:val="BodyText"/>
      </w:pPr>
    </w:p>
    <w:p w14:paraId="63B0DA31" w14:textId="4B5CEA09" w:rsidR="00164520" w:rsidRPr="00100771" w:rsidRDefault="00164520" w:rsidP="00F21703">
      <w:pPr>
        <w:pStyle w:val="Heading3"/>
      </w:pPr>
      <w:r w:rsidRPr="00100771">
        <w:t>WORKPLACE PARTICIPANT ACKNOWLEDGEMENT:</w:t>
      </w:r>
    </w:p>
    <w:p w14:paraId="12AF86EF" w14:textId="77777777" w:rsidR="00164520" w:rsidRPr="004235FE" w:rsidRDefault="00164520" w:rsidP="00F21703">
      <w:pPr>
        <w:pStyle w:val="BodyText"/>
      </w:pPr>
    </w:p>
    <w:p w14:paraId="72D83F56" w14:textId="77777777" w:rsidR="00164520" w:rsidRPr="004235FE" w:rsidRDefault="00164520" w:rsidP="00F21703">
      <w:pPr>
        <w:ind w:right="3"/>
        <w:jc w:val="both"/>
        <w:rPr>
          <w:rFonts w:asciiTheme="minorHAnsi" w:hAnsiTheme="minorHAnsi" w:cstheme="minorHAnsi"/>
          <w:i/>
        </w:rPr>
      </w:pPr>
      <w:r w:rsidRPr="004235FE">
        <w:rPr>
          <w:rFonts w:asciiTheme="minorHAnsi" w:hAnsiTheme="minorHAnsi" w:cstheme="minorHAnsi"/>
          <w:i/>
        </w:rPr>
        <w:t>I acknowledge:</w:t>
      </w:r>
    </w:p>
    <w:p w14:paraId="6D02AF24" w14:textId="3BB86DAF" w:rsidR="00164520" w:rsidRPr="004235FE" w:rsidRDefault="00391886" w:rsidP="00F21703">
      <w:pPr>
        <w:pStyle w:val="ListParagraph"/>
        <w:numPr>
          <w:ilvl w:val="0"/>
          <w:numId w:val="10"/>
        </w:numPr>
        <w:tabs>
          <w:tab w:val="left" w:pos="785"/>
          <w:tab w:val="left" w:pos="786"/>
        </w:tabs>
        <w:ind w:right="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</w:t>
      </w:r>
      <w:r w:rsidR="00164520" w:rsidRPr="004235FE">
        <w:rPr>
          <w:rFonts w:asciiTheme="minorHAnsi" w:hAnsiTheme="minorHAnsi" w:cstheme="minorHAnsi"/>
          <w:i/>
        </w:rPr>
        <w:t xml:space="preserve">eceiving </w:t>
      </w:r>
      <w:r w:rsidR="00164520" w:rsidRPr="004235FE">
        <w:rPr>
          <w:rFonts w:asciiTheme="minorHAnsi" w:hAnsiTheme="minorHAnsi" w:cstheme="minorHAnsi"/>
          <w:i/>
          <w:shd w:val="clear" w:color="auto" w:fill="FFFFFF" w:themeFill="background1"/>
        </w:rPr>
        <w:t>th</w:t>
      </w:r>
      <w:r w:rsidR="00164520" w:rsidRPr="005C10A6">
        <w:rPr>
          <w:rFonts w:asciiTheme="minorHAnsi" w:hAnsiTheme="minorHAnsi" w:cstheme="minorHAnsi"/>
          <w:i/>
          <w:shd w:val="clear" w:color="auto" w:fill="FFFFFF" w:themeFill="background1"/>
        </w:rPr>
        <w:t xml:space="preserve">e </w:t>
      </w:r>
      <w:r w:rsidR="005C10A6" w:rsidRPr="005C10A6">
        <w:rPr>
          <w:i/>
        </w:rPr>
        <w:t xml:space="preserve">Timesheet and TOIL Policy &amp; </w:t>
      </w:r>
      <w:r w:rsidR="00634FA8" w:rsidRPr="005C10A6">
        <w:rPr>
          <w:i/>
        </w:rPr>
        <w:t>Procedures</w:t>
      </w:r>
      <w:r w:rsidR="00634FA8">
        <w:rPr>
          <w:i/>
        </w:rPr>
        <w:t>, and</w:t>
      </w:r>
    </w:p>
    <w:p w14:paraId="1B05DD4F" w14:textId="12D0EDA2" w:rsidR="00164520" w:rsidRPr="004235FE" w:rsidRDefault="00391886" w:rsidP="00F21703">
      <w:pPr>
        <w:pStyle w:val="ListParagraph"/>
        <w:numPr>
          <w:ilvl w:val="0"/>
          <w:numId w:val="10"/>
        </w:numPr>
        <w:tabs>
          <w:tab w:val="left" w:pos="785"/>
          <w:tab w:val="left" w:pos="786"/>
        </w:tabs>
        <w:ind w:right="3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</w:t>
      </w:r>
      <w:r w:rsidR="00164520" w:rsidRPr="004235FE">
        <w:rPr>
          <w:rFonts w:asciiTheme="minorHAnsi" w:hAnsiTheme="minorHAnsi" w:cstheme="minorHAnsi"/>
          <w:i/>
        </w:rPr>
        <w:t>hat I must comply with the policy and that there may be disciplinary consequences if I fail to comply, which may result in the termination of my employment.</w:t>
      </w:r>
    </w:p>
    <w:p w14:paraId="4B07E276" w14:textId="77777777" w:rsidR="00164520" w:rsidRPr="004235FE" w:rsidRDefault="00164520" w:rsidP="00F21703">
      <w:pPr>
        <w:pStyle w:val="BodyText"/>
      </w:pPr>
    </w:p>
    <w:p w14:paraId="5590F5E6" w14:textId="258424EE" w:rsidR="00164520" w:rsidRPr="00391886" w:rsidRDefault="00391886" w:rsidP="00F21703">
      <w:pPr>
        <w:pStyle w:val="Heading2"/>
        <w:ind w:left="0" w:right="3" w:firstLine="0"/>
        <w:jc w:val="both"/>
        <w:rPr>
          <w:rFonts w:asciiTheme="minorHAnsi" w:hAnsiTheme="minorHAnsi" w:cstheme="minorHAnsi"/>
          <w:b w:val="0"/>
          <w:bCs w:val="0"/>
          <w:i/>
          <w:iCs/>
        </w:rPr>
      </w:pPr>
      <w:r w:rsidRPr="00391886">
        <w:rPr>
          <w:rFonts w:asciiTheme="minorHAnsi" w:hAnsiTheme="minorHAnsi" w:cstheme="minorHAnsi"/>
          <w:b w:val="0"/>
          <w:bCs w:val="0"/>
          <w:i/>
          <w:iCs/>
        </w:rPr>
        <w:t>Signed:</w:t>
      </w:r>
    </w:p>
    <w:p w14:paraId="75996619" w14:textId="18EED3CE" w:rsidR="00391886" w:rsidRDefault="00391886" w:rsidP="00F21703">
      <w:pPr>
        <w:pStyle w:val="Heading2"/>
        <w:ind w:left="0" w:right="3" w:firstLine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14"/>
      </w:tblGrid>
      <w:tr w:rsidR="00391886" w14:paraId="496305C4" w14:textId="77777777" w:rsidTr="00391886">
        <w:tc>
          <w:tcPr>
            <w:tcW w:w="1418" w:type="dxa"/>
          </w:tcPr>
          <w:p w14:paraId="24D46CE5" w14:textId="6774510C" w:rsidR="00391886" w:rsidRDefault="00391886" w:rsidP="00F21703">
            <w:pPr>
              <w:pStyle w:val="Heading2"/>
              <w:ind w:left="0" w:right="3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8214" w:type="dxa"/>
            <w:tcBorders>
              <w:bottom w:val="single" w:sz="4" w:space="0" w:color="808080" w:themeColor="background1" w:themeShade="80"/>
            </w:tcBorders>
          </w:tcPr>
          <w:p w14:paraId="046247A4" w14:textId="5E4EECFD" w:rsidR="00391886" w:rsidRDefault="00391886" w:rsidP="00F21703">
            <w:pPr>
              <w:pStyle w:val="Heading2"/>
              <w:ind w:left="0" w:right="3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91886" w14:paraId="17DE24B3" w14:textId="77777777" w:rsidTr="00391886">
        <w:tc>
          <w:tcPr>
            <w:tcW w:w="1418" w:type="dxa"/>
          </w:tcPr>
          <w:p w14:paraId="4A6CDE42" w14:textId="77777777" w:rsidR="00391886" w:rsidRDefault="00391886" w:rsidP="00F21703">
            <w:pPr>
              <w:pStyle w:val="Heading2"/>
              <w:ind w:left="0" w:right="3" w:firstLine="0"/>
              <w:jc w:val="both"/>
              <w:rPr>
                <w:rFonts w:asciiTheme="minorHAnsi" w:hAnsiTheme="minorHAnsi" w:cstheme="minorHAnsi"/>
              </w:rPr>
            </w:pPr>
          </w:p>
          <w:p w14:paraId="472474D6" w14:textId="77777777" w:rsidR="00391886" w:rsidRDefault="00391886" w:rsidP="00F21703">
            <w:pPr>
              <w:pStyle w:val="Heading2"/>
              <w:ind w:left="0" w:right="3" w:firstLine="0"/>
              <w:jc w:val="both"/>
              <w:rPr>
                <w:rFonts w:asciiTheme="minorHAnsi" w:hAnsiTheme="minorHAnsi" w:cstheme="minorHAnsi"/>
              </w:rPr>
            </w:pPr>
          </w:p>
          <w:p w14:paraId="76E109F7" w14:textId="4D9779B2" w:rsidR="00391886" w:rsidRDefault="00391886" w:rsidP="00F21703">
            <w:pPr>
              <w:pStyle w:val="Heading2"/>
              <w:ind w:left="0" w:right="3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Signature: </w:t>
            </w:r>
          </w:p>
        </w:tc>
        <w:tc>
          <w:tcPr>
            <w:tcW w:w="82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4839CC" w14:textId="14E69CC0" w:rsidR="00391886" w:rsidRDefault="00391886" w:rsidP="00F21703">
            <w:pPr>
              <w:pStyle w:val="Heading2"/>
              <w:ind w:left="0" w:right="3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91886" w14:paraId="0872627D" w14:textId="77777777" w:rsidTr="00A94A81">
        <w:tc>
          <w:tcPr>
            <w:tcW w:w="1418" w:type="dxa"/>
          </w:tcPr>
          <w:p w14:paraId="06714D30" w14:textId="77777777" w:rsidR="00391886" w:rsidRDefault="00391886" w:rsidP="00F21703">
            <w:pPr>
              <w:pStyle w:val="Heading2"/>
              <w:ind w:left="0" w:right="3" w:firstLine="0"/>
              <w:jc w:val="both"/>
              <w:rPr>
                <w:rFonts w:asciiTheme="minorHAnsi" w:hAnsiTheme="minorHAnsi" w:cstheme="minorHAnsi"/>
              </w:rPr>
            </w:pPr>
          </w:p>
          <w:p w14:paraId="4032957C" w14:textId="21E5C2DD" w:rsidR="00391886" w:rsidRDefault="00391886" w:rsidP="00F21703">
            <w:pPr>
              <w:pStyle w:val="Heading2"/>
              <w:ind w:left="0" w:right="3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82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F9D8133" w14:textId="6E18285F" w:rsidR="00391886" w:rsidRDefault="00391886" w:rsidP="00A94A81">
            <w:pPr>
              <w:pStyle w:val="Heading2"/>
              <w:ind w:left="0" w:right="3" w:firstLine="0"/>
              <w:rPr>
                <w:rFonts w:asciiTheme="minorHAnsi" w:hAnsiTheme="minorHAnsi" w:cstheme="minorHAnsi"/>
              </w:rPr>
            </w:pPr>
          </w:p>
        </w:tc>
      </w:tr>
    </w:tbl>
    <w:p w14:paraId="1D405018" w14:textId="77777777" w:rsidR="00391886" w:rsidRPr="004235FE" w:rsidRDefault="00391886" w:rsidP="00F21703">
      <w:pPr>
        <w:pStyle w:val="Heading2"/>
        <w:ind w:left="0" w:right="3" w:firstLine="0"/>
        <w:jc w:val="both"/>
        <w:rPr>
          <w:rFonts w:asciiTheme="minorHAnsi" w:hAnsiTheme="minorHAnsi" w:cstheme="minorHAnsi"/>
        </w:rPr>
      </w:pPr>
    </w:p>
    <w:sectPr w:rsidR="00391886" w:rsidRPr="004235FE" w:rsidSect="007F5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134" w:right="1134" w:bottom="1134" w:left="1134" w:header="890" w:footer="6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E1C8" w14:textId="77777777" w:rsidR="00975EF2" w:rsidRDefault="00975EF2">
      <w:r>
        <w:separator/>
      </w:r>
    </w:p>
  </w:endnote>
  <w:endnote w:type="continuationSeparator" w:id="0">
    <w:p w14:paraId="65CBEF01" w14:textId="77777777" w:rsidR="00975EF2" w:rsidRDefault="0097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C665" w14:textId="77777777" w:rsidR="007341DD" w:rsidRDefault="00734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08EE" w14:textId="208AD810" w:rsidR="00BA7873" w:rsidRPr="00B821D4" w:rsidRDefault="00BA7873" w:rsidP="00A00613">
    <w:pPr>
      <w:pStyle w:val="Footer"/>
      <w:pBdr>
        <w:top w:val="single" w:sz="4" w:space="1" w:color="auto"/>
      </w:pBdr>
      <w:jc w:val="center"/>
      <w:rPr>
        <w:i/>
        <w:sz w:val="18"/>
        <w:szCs w:val="18"/>
      </w:rPr>
    </w:pPr>
    <w:r w:rsidRPr="00B821D4">
      <w:rPr>
        <w:i/>
        <w:sz w:val="18"/>
        <w:szCs w:val="18"/>
      </w:rPr>
      <w:t>OHCG 00</w:t>
    </w:r>
    <w:r w:rsidR="005C10A6">
      <w:rPr>
        <w:i/>
        <w:sz w:val="18"/>
        <w:szCs w:val="18"/>
      </w:rPr>
      <w:t>5 Timesheet and TOIL Policy &amp; Procedures</w:t>
    </w:r>
    <w:r w:rsidR="00511799">
      <w:rPr>
        <w:i/>
        <w:sz w:val="18"/>
        <w:szCs w:val="18"/>
      </w:rPr>
      <w:tab/>
    </w:r>
    <w:r w:rsidRPr="00B821D4">
      <w:rPr>
        <w:i/>
        <w:sz w:val="18"/>
        <w:szCs w:val="18"/>
      </w:rPr>
      <w:tab/>
    </w:r>
    <w:r>
      <w:rPr>
        <w:i/>
        <w:sz w:val="18"/>
        <w:szCs w:val="18"/>
      </w:rPr>
      <w:t xml:space="preserve"> </w:t>
    </w:r>
    <w:r w:rsidR="00A00613">
      <w:rPr>
        <w:i/>
        <w:sz w:val="18"/>
        <w:szCs w:val="18"/>
      </w:rPr>
      <w:t xml:space="preserve">  </w:t>
    </w:r>
    <w:r>
      <w:rPr>
        <w:i/>
        <w:sz w:val="18"/>
        <w:szCs w:val="18"/>
      </w:rPr>
      <w:t xml:space="preserve"> </w:t>
    </w:r>
    <w:r w:rsidRPr="00B821D4">
      <w:rPr>
        <w:i/>
        <w:sz w:val="18"/>
        <w:szCs w:val="18"/>
      </w:rPr>
      <w:t>Page</w:t>
    </w:r>
    <w:r>
      <w:rPr>
        <w:i/>
        <w:sz w:val="18"/>
        <w:szCs w:val="18"/>
      </w:rPr>
      <w:t xml:space="preserve"> </w:t>
    </w:r>
    <w:r w:rsidRPr="00B821D4">
      <w:rPr>
        <w:i/>
        <w:sz w:val="18"/>
        <w:szCs w:val="18"/>
      </w:rPr>
      <w:fldChar w:fldCharType="begin"/>
    </w:r>
    <w:r w:rsidRPr="00B821D4">
      <w:rPr>
        <w:i/>
        <w:sz w:val="18"/>
        <w:szCs w:val="18"/>
      </w:rPr>
      <w:instrText xml:space="preserve"> PAGE   \* MERGEFORMAT </w:instrText>
    </w:r>
    <w:r w:rsidRPr="00B821D4">
      <w:rPr>
        <w:i/>
        <w:sz w:val="18"/>
        <w:szCs w:val="18"/>
      </w:rPr>
      <w:fldChar w:fldCharType="separate"/>
    </w:r>
    <w:r>
      <w:rPr>
        <w:i/>
        <w:sz w:val="18"/>
        <w:szCs w:val="18"/>
      </w:rPr>
      <w:t>1</w:t>
    </w:r>
    <w:r w:rsidRPr="00B821D4">
      <w:rPr>
        <w:i/>
        <w:noProof/>
        <w:sz w:val="18"/>
        <w:szCs w:val="18"/>
      </w:rPr>
      <w:fldChar w:fldCharType="end"/>
    </w:r>
    <w:r w:rsidRPr="00B821D4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of </w:t>
    </w:r>
    <w:r w:rsidR="00765450">
      <w:rPr>
        <w:i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44D9" w14:textId="77777777" w:rsidR="007341DD" w:rsidRDefault="00734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E2A9" w14:textId="77777777" w:rsidR="00975EF2" w:rsidRDefault="00975EF2">
      <w:r>
        <w:separator/>
      </w:r>
    </w:p>
  </w:footnote>
  <w:footnote w:type="continuationSeparator" w:id="0">
    <w:p w14:paraId="7AB94364" w14:textId="77777777" w:rsidR="00975EF2" w:rsidRDefault="0097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9931" w14:textId="77777777" w:rsidR="007341DD" w:rsidRDefault="00734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0C5F" w14:textId="325E6CD4" w:rsidR="00BA7873" w:rsidRDefault="00BA7873" w:rsidP="00F21703">
    <w:pPr>
      <w:pStyle w:val="BodyTex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FAF9" w14:textId="77777777" w:rsidR="007341DD" w:rsidRDefault="00734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6EE"/>
    <w:multiLevelType w:val="hybridMultilevel"/>
    <w:tmpl w:val="A6742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AD4"/>
    <w:multiLevelType w:val="hybridMultilevel"/>
    <w:tmpl w:val="C320174E"/>
    <w:lvl w:ilvl="0" w:tplc="F306F0A6">
      <w:start w:val="1"/>
      <w:numFmt w:val="decimal"/>
      <w:lvlText w:val="7.%1"/>
      <w:lvlJc w:val="left"/>
      <w:pPr>
        <w:ind w:left="360" w:hanging="360"/>
      </w:pPr>
      <w:rPr>
        <w:rFonts w:ascii="Calibri" w:hAnsi="Calibri" w:hint="default"/>
        <w:b/>
        <w:i w:val="0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A3842"/>
    <w:multiLevelType w:val="hybridMultilevel"/>
    <w:tmpl w:val="04B61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23CA7"/>
    <w:multiLevelType w:val="multilevel"/>
    <w:tmpl w:val="A9F6D5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563360"/>
    <w:multiLevelType w:val="hybridMultilevel"/>
    <w:tmpl w:val="FE06EE70"/>
    <w:lvl w:ilvl="0" w:tplc="154AFD32">
      <w:start w:val="1"/>
      <w:numFmt w:val="decimal"/>
      <w:lvlText w:val="5.%1"/>
      <w:lvlJc w:val="left"/>
      <w:pPr>
        <w:ind w:left="360" w:hanging="360"/>
      </w:pPr>
      <w:rPr>
        <w:rFonts w:hint="default"/>
        <w:b/>
        <w:bCs w:val="0"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A2089"/>
    <w:multiLevelType w:val="hybridMultilevel"/>
    <w:tmpl w:val="B314A0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81B60"/>
    <w:multiLevelType w:val="hybridMultilevel"/>
    <w:tmpl w:val="C5AC0DDC"/>
    <w:lvl w:ilvl="0" w:tplc="D51C3CE6">
      <w:start w:val="1"/>
      <w:numFmt w:val="decimal"/>
      <w:lvlText w:val="8.%1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C5D41"/>
    <w:multiLevelType w:val="hybridMultilevel"/>
    <w:tmpl w:val="0116031C"/>
    <w:lvl w:ilvl="0" w:tplc="3628092A">
      <w:start w:val="1"/>
      <w:numFmt w:val="decimal"/>
      <w:lvlText w:val="6.%1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5705C"/>
    <w:multiLevelType w:val="hybridMultilevel"/>
    <w:tmpl w:val="EF449F6E"/>
    <w:lvl w:ilvl="0" w:tplc="CF72FAC4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21A56"/>
    <w:multiLevelType w:val="hybridMultilevel"/>
    <w:tmpl w:val="95A0CA0C"/>
    <w:lvl w:ilvl="0" w:tplc="43383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25BCED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F28"/>
    <w:multiLevelType w:val="hybridMultilevel"/>
    <w:tmpl w:val="1598B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F2BDE"/>
    <w:multiLevelType w:val="hybridMultilevel"/>
    <w:tmpl w:val="55145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663B6"/>
    <w:multiLevelType w:val="hybridMultilevel"/>
    <w:tmpl w:val="F7BC865C"/>
    <w:lvl w:ilvl="0" w:tplc="F1CCD97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B01CE"/>
    <w:multiLevelType w:val="hybridMultilevel"/>
    <w:tmpl w:val="D5E200A6"/>
    <w:lvl w:ilvl="0" w:tplc="C3F048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iCs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3B420E3B"/>
    <w:multiLevelType w:val="hybridMultilevel"/>
    <w:tmpl w:val="4B1C0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29CD"/>
    <w:multiLevelType w:val="hybridMultilevel"/>
    <w:tmpl w:val="CBCA9FF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sz w:val="22"/>
      </w:rPr>
    </w:lvl>
    <w:lvl w:ilvl="1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7420FC"/>
    <w:multiLevelType w:val="hybridMultilevel"/>
    <w:tmpl w:val="411E8E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243E0"/>
    <w:multiLevelType w:val="multilevel"/>
    <w:tmpl w:val="8FC61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012CF0"/>
    <w:multiLevelType w:val="hybridMultilevel"/>
    <w:tmpl w:val="617EA328"/>
    <w:lvl w:ilvl="0" w:tplc="F1CCD97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 w15:restartNumberingAfterBreak="0">
    <w:nsid w:val="47FC5716"/>
    <w:multiLevelType w:val="hybridMultilevel"/>
    <w:tmpl w:val="3996A468"/>
    <w:lvl w:ilvl="0" w:tplc="C3F048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iCs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6D1D01"/>
    <w:multiLevelType w:val="hybridMultilevel"/>
    <w:tmpl w:val="DEF868BC"/>
    <w:lvl w:ilvl="0" w:tplc="F1CCD97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C3F57"/>
    <w:multiLevelType w:val="hybridMultilevel"/>
    <w:tmpl w:val="6C72EF86"/>
    <w:lvl w:ilvl="0" w:tplc="C3F048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iCs/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96328D"/>
    <w:multiLevelType w:val="hybridMultilevel"/>
    <w:tmpl w:val="F104C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0256A"/>
    <w:multiLevelType w:val="hybridMultilevel"/>
    <w:tmpl w:val="EC481C86"/>
    <w:lvl w:ilvl="0" w:tplc="C3F048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iCs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217EAA"/>
    <w:multiLevelType w:val="hybridMultilevel"/>
    <w:tmpl w:val="141CD8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1C3DB5"/>
    <w:multiLevelType w:val="hybridMultilevel"/>
    <w:tmpl w:val="67520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4E7B89"/>
    <w:multiLevelType w:val="hybridMultilevel"/>
    <w:tmpl w:val="709ECF76"/>
    <w:lvl w:ilvl="0" w:tplc="9C5A99F2">
      <w:start w:val="1"/>
      <w:numFmt w:val="lowerLetter"/>
      <w:pStyle w:val="Heading1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1F74B7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605EFF"/>
    <w:multiLevelType w:val="hybridMultilevel"/>
    <w:tmpl w:val="61904808"/>
    <w:lvl w:ilvl="0" w:tplc="C3F048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iCs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AE0F07"/>
    <w:multiLevelType w:val="multilevel"/>
    <w:tmpl w:val="544C7902"/>
    <w:lvl w:ilvl="0">
      <w:start w:val="1"/>
      <w:numFmt w:val="decimal"/>
      <w:pStyle w:val="Heading3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b/>
        <w:bCs/>
        <w:i w:val="0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F23711"/>
    <w:multiLevelType w:val="hybridMultilevel"/>
    <w:tmpl w:val="A1F4AE7C"/>
    <w:lvl w:ilvl="0" w:tplc="43383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8DA534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6115"/>
    <w:multiLevelType w:val="hybridMultilevel"/>
    <w:tmpl w:val="975881F4"/>
    <w:lvl w:ilvl="0" w:tplc="554C99DC">
      <w:start w:val="1"/>
      <w:numFmt w:val="decimal"/>
      <w:lvlText w:val="6.1.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1380725">
    <w:abstractNumId w:val="1"/>
  </w:num>
  <w:num w:numId="2" w16cid:durableId="1430006270">
    <w:abstractNumId w:val="28"/>
  </w:num>
  <w:num w:numId="3" w16cid:durableId="1368526103">
    <w:abstractNumId w:val="4"/>
  </w:num>
  <w:num w:numId="4" w16cid:durableId="1418212721">
    <w:abstractNumId w:val="11"/>
  </w:num>
  <w:num w:numId="5" w16cid:durableId="2090299751">
    <w:abstractNumId w:val="27"/>
  </w:num>
  <w:num w:numId="6" w16cid:durableId="1679040359">
    <w:abstractNumId w:val="6"/>
  </w:num>
  <w:num w:numId="7" w16cid:durableId="530345382">
    <w:abstractNumId w:val="23"/>
  </w:num>
  <w:num w:numId="8" w16cid:durableId="971666453">
    <w:abstractNumId w:val="19"/>
  </w:num>
  <w:num w:numId="9" w16cid:durableId="1377730254">
    <w:abstractNumId w:val="21"/>
  </w:num>
  <w:num w:numId="10" w16cid:durableId="1890650210">
    <w:abstractNumId w:val="13"/>
  </w:num>
  <w:num w:numId="11" w16cid:durableId="132448899">
    <w:abstractNumId w:val="8"/>
  </w:num>
  <w:num w:numId="12" w16cid:durableId="1684815730">
    <w:abstractNumId w:val="18"/>
  </w:num>
  <w:num w:numId="13" w16cid:durableId="946933780">
    <w:abstractNumId w:val="7"/>
  </w:num>
  <w:num w:numId="14" w16cid:durableId="1822454773">
    <w:abstractNumId w:val="15"/>
  </w:num>
  <w:num w:numId="15" w16cid:durableId="1842698635">
    <w:abstractNumId w:val="30"/>
  </w:num>
  <w:num w:numId="16" w16cid:durableId="1978023075">
    <w:abstractNumId w:val="14"/>
  </w:num>
  <w:num w:numId="17" w16cid:durableId="181095144">
    <w:abstractNumId w:val="26"/>
  </w:num>
  <w:num w:numId="18" w16cid:durableId="461581191">
    <w:abstractNumId w:val="20"/>
  </w:num>
  <w:num w:numId="19" w16cid:durableId="1153063029">
    <w:abstractNumId w:val="12"/>
  </w:num>
  <w:num w:numId="20" w16cid:durableId="814641666">
    <w:abstractNumId w:val="25"/>
  </w:num>
  <w:num w:numId="21" w16cid:durableId="742992859">
    <w:abstractNumId w:val="0"/>
  </w:num>
  <w:num w:numId="22" w16cid:durableId="1482504692">
    <w:abstractNumId w:val="2"/>
  </w:num>
  <w:num w:numId="23" w16cid:durableId="1807552434">
    <w:abstractNumId w:val="24"/>
  </w:num>
  <w:num w:numId="24" w16cid:durableId="2045596075">
    <w:abstractNumId w:val="16"/>
  </w:num>
  <w:num w:numId="25" w16cid:durableId="1192449727">
    <w:abstractNumId w:val="9"/>
  </w:num>
  <w:num w:numId="26" w16cid:durableId="1898316867">
    <w:abstractNumId w:val="29"/>
  </w:num>
  <w:num w:numId="27" w16cid:durableId="941380828">
    <w:abstractNumId w:val="22"/>
  </w:num>
  <w:num w:numId="28" w16cid:durableId="1518697063">
    <w:abstractNumId w:val="5"/>
  </w:num>
  <w:num w:numId="29" w16cid:durableId="629674803">
    <w:abstractNumId w:val="10"/>
  </w:num>
  <w:num w:numId="30" w16cid:durableId="1764494259">
    <w:abstractNumId w:val="17"/>
  </w:num>
  <w:num w:numId="31" w16cid:durableId="151364199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28"/>
    <w:rsid w:val="00016A2F"/>
    <w:rsid w:val="00017C32"/>
    <w:rsid w:val="000202CF"/>
    <w:rsid w:val="00023C8F"/>
    <w:rsid w:val="000253B5"/>
    <w:rsid w:val="00031E37"/>
    <w:rsid w:val="00047B0F"/>
    <w:rsid w:val="00055115"/>
    <w:rsid w:val="000559CB"/>
    <w:rsid w:val="00056911"/>
    <w:rsid w:val="000942CD"/>
    <w:rsid w:val="000B1F06"/>
    <w:rsid w:val="000B51CD"/>
    <w:rsid w:val="000D1DB0"/>
    <w:rsid w:val="00100771"/>
    <w:rsid w:val="001060BB"/>
    <w:rsid w:val="0010612B"/>
    <w:rsid w:val="001126F0"/>
    <w:rsid w:val="001150DA"/>
    <w:rsid w:val="00124041"/>
    <w:rsid w:val="00130718"/>
    <w:rsid w:val="001339AC"/>
    <w:rsid w:val="00143AD6"/>
    <w:rsid w:val="00153A5F"/>
    <w:rsid w:val="00155F6B"/>
    <w:rsid w:val="00156BAA"/>
    <w:rsid w:val="00164520"/>
    <w:rsid w:val="00175086"/>
    <w:rsid w:val="001821BA"/>
    <w:rsid w:val="001A2B5E"/>
    <w:rsid w:val="001C0FBD"/>
    <w:rsid w:val="001C49C5"/>
    <w:rsid w:val="001D191D"/>
    <w:rsid w:val="001D387A"/>
    <w:rsid w:val="001D54F8"/>
    <w:rsid w:val="001D7D7C"/>
    <w:rsid w:val="001E5D62"/>
    <w:rsid w:val="001E5F50"/>
    <w:rsid w:val="00207411"/>
    <w:rsid w:val="00232661"/>
    <w:rsid w:val="00246BBE"/>
    <w:rsid w:val="00252763"/>
    <w:rsid w:val="00253C8D"/>
    <w:rsid w:val="002557D5"/>
    <w:rsid w:val="00257588"/>
    <w:rsid w:val="00260F36"/>
    <w:rsid w:val="00277CB2"/>
    <w:rsid w:val="00284A2E"/>
    <w:rsid w:val="002D6115"/>
    <w:rsid w:val="002F4348"/>
    <w:rsid w:val="0030406E"/>
    <w:rsid w:val="00335AED"/>
    <w:rsid w:val="003431AF"/>
    <w:rsid w:val="0034402B"/>
    <w:rsid w:val="003454FB"/>
    <w:rsid w:val="003463CC"/>
    <w:rsid w:val="00350DCA"/>
    <w:rsid w:val="00363088"/>
    <w:rsid w:val="00365D90"/>
    <w:rsid w:val="0036749A"/>
    <w:rsid w:val="0037219F"/>
    <w:rsid w:val="003878FC"/>
    <w:rsid w:val="00391886"/>
    <w:rsid w:val="003A72EC"/>
    <w:rsid w:val="003C2378"/>
    <w:rsid w:val="003C237E"/>
    <w:rsid w:val="003F0A35"/>
    <w:rsid w:val="003F4AF6"/>
    <w:rsid w:val="003F5E6D"/>
    <w:rsid w:val="003F6131"/>
    <w:rsid w:val="00401DC1"/>
    <w:rsid w:val="00417493"/>
    <w:rsid w:val="004235FE"/>
    <w:rsid w:val="00443FE8"/>
    <w:rsid w:val="00444206"/>
    <w:rsid w:val="00445C8F"/>
    <w:rsid w:val="004517F1"/>
    <w:rsid w:val="00455536"/>
    <w:rsid w:val="00465D0E"/>
    <w:rsid w:val="00470256"/>
    <w:rsid w:val="00483928"/>
    <w:rsid w:val="00485E8B"/>
    <w:rsid w:val="00493337"/>
    <w:rsid w:val="00497D9D"/>
    <w:rsid w:val="004A3B2F"/>
    <w:rsid w:val="004B1926"/>
    <w:rsid w:val="004C058B"/>
    <w:rsid w:val="004D07AE"/>
    <w:rsid w:val="004D39CC"/>
    <w:rsid w:val="004F3D40"/>
    <w:rsid w:val="00511799"/>
    <w:rsid w:val="005128B8"/>
    <w:rsid w:val="0051296A"/>
    <w:rsid w:val="00514D11"/>
    <w:rsid w:val="005279D9"/>
    <w:rsid w:val="00535B88"/>
    <w:rsid w:val="00546DDE"/>
    <w:rsid w:val="00546E1D"/>
    <w:rsid w:val="00563C93"/>
    <w:rsid w:val="00563DE6"/>
    <w:rsid w:val="0056479D"/>
    <w:rsid w:val="005653E9"/>
    <w:rsid w:val="005731AC"/>
    <w:rsid w:val="00573341"/>
    <w:rsid w:val="00573D55"/>
    <w:rsid w:val="00580B4F"/>
    <w:rsid w:val="005B2CEC"/>
    <w:rsid w:val="005C10A6"/>
    <w:rsid w:val="005C2ADC"/>
    <w:rsid w:val="005C48ED"/>
    <w:rsid w:val="005C7F14"/>
    <w:rsid w:val="005D32BE"/>
    <w:rsid w:val="005D6DE9"/>
    <w:rsid w:val="005E0A3C"/>
    <w:rsid w:val="005F0261"/>
    <w:rsid w:val="005F27F9"/>
    <w:rsid w:val="00601D1E"/>
    <w:rsid w:val="00614663"/>
    <w:rsid w:val="00615548"/>
    <w:rsid w:val="0062549C"/>
    <w:rsid w:val="00627F38"/>
    <w:rsid w:val="00634FA8"/>
    <w:rsid w:val="00655CDD"/>
    <w:rsid w:val="006564AC"/>
    <w:rsid w:val="00657D90"/>
    <w:rsid w:val="006719F2"/>
    <w:rsid w:val="00671F09"/>
    <w:rsid w:val="0067243C"/>
    <w:rsid w:val="00676F9A"/>
    <w:rsid w:val="00681DA9"/>
    <w:rsid w:val="00690321"/>
    <w:rsid w:val="0069137B"/>
    <w:rsid w:val="006C18DB"/>
    <w:rsid w:val="006D589B"/>
    <w:rsid w:val="006D6DC9"/>
    <w:rsid w:val="006E1168"/>
    <w:rsid w:val="006E16E1"/>
    <w:rsid w:val="006E4AEA"/>
    <w:rsid w:val="007341DD"/>
    <w:rsid w:val="0075527E"/>
    <w:rsid w:val="00765450"/>
    <w:rsid w:val="00771412"/>
    <w:rsid w:val="00771435"/>
    <w:rsid w:val="0077512D"/>
    <w:rsid w:val="0077555D"/>
    <w:rsid w:val="00776A74"/>
    <w:rsid w:val="007877CF"/>
    <w:rsid w:val="007950F5"/>
    <w:rsid w:val="007A4022"/>
    <w:rsid w:val="007D5C9A"/>
    <w:rsid w:val="007F32DD"/>
    <w:rsid w:val="007F565B"/>
    <w:rsid w:val="008029DD"/>
    <w:rsid w:val="00803FBF"/>
    <w:rsid w:val="00810B28"/>
    <w:rsid w:val="008201ED"/>
    <w:rsid w:val="00827EEF"/>
    <w:rsid w:val="008316BD"/>
    <w:rsid w:val="00852364"/>
    <w:rsid w:val="008A62D1"/>
    <w:rsid w:val="008B1C36"/>
    <w:rsid w:val="008C6DD2"/>
    <w:rsid w:val="008E0A1A"/>
    <w:rsid w:val="008E27A6"/>
    <w:rsid w:val="008F646E"/>
    <w:rsid w:val="00912F68"/>
    <w:rsid w:val="00913970"/>
    <w:rsid w:val="00916343"/>
    <w:rsid w:val="00926CDD"/>
    <w:rsid w:val="00940ECE"/>
    <w:rsid w:val="0094158E"/>
    <w:rsid w:val="00941DFA"/>
    <w:rsid w:val="0094472F"/>
    <w:rsid w:val="00944D2E"/>
    <w:rsid w:val="00955F2D"/>
    <w:rsid w:val="009570BE"/>
    <w:rsid w:val="00966E4E"/>
    <w:rsid w:val="00970476"/>
    <w:rsid w:val="00975EF2"/>
    <w:rsid w:val="009811E5"/>
    <w:rsid w:val="00991755"/>
    <w:rsid w:val="009938D4"/>
    <w:rsid w:val="00996A43"/>
    <w:rsid w:val="009A120B"/>
    <w:rsid w:val="009A45F3"/>
    <w:rsid w:val="009A7758"/>
    <w:rsid w:val="009C148B"/>
    <w:rsid w:val="009C25E8"/>
    <w:rsid w:val="009D4D1C"/>
    <w:rsid w:val="009D527D"/>
    <w:rsid w:val="009D738A"/>
    <w:rsid w:val="009F2BBC"/>
    <w:rsid w:val="00A00613"/>
    <w:rsid w:val="00A068E6"/>
    <w:rsid w:val="00A10745"/>
    <w:rsid w:val="00A11183"/>
    <w:rsid w:val="00A15D8C"/>
    <w:rsid w:val="00A252BC"/>
    <w:rsid w:val="00A37900"/>
    <w:rsid w:val="00A60F1D"/>
    <w:rsid w:val="00A65717"/>
    <w:rsid w:val="00A673F8"/>
    <w:rsid w:val="00A7693D"/>
    <w:rsid w:val="00A83B06"/>
    <w:rsid w:val="00A9315B"/>
    <w:rsid w:val="00A94A81"/>
    <w:rsid w:val="00AA2CAC"/>
    <w:rsid w:val="00AA6A61"/>
    <w:rsid w:val="00AB29E6"/>
    <w:rsid w:val="00AE4907"/>
    <w:rsid w:val="00AF2D3A"/>
    <w:rsid w:val="00B01158"/>
    <w:rsid w:val="00B135D4"/>
    <w:rsid w:val="00B24931"/>
    <w:rsid w:val="00B77D86"/>
    <w:rsid w:val="00B821D4"/>
    <w:rsid w:val="00B86BAD"/>
    <w:rsid w:val="00BA7873"/>
    <w:rsid w:val="00BC19A5"/>
    <w:rsid w:val="00BC5D47"/>
    <w:rsid w:val="00BD2621"/>
    <w:rsid w:val="00BD4E8F"/>
    <w:rsid w:val="00BE5A8D"/>
    <w:rsid w:val="00BF6539"/>
    <w:rsid w:val="00C00D02"/>
    <w:rsid w:val="00C0118A"/>
    <w:rsid w:val="00C271C4"/>
    <w:rsid w:val="00C372CE"/>
    <w:rsid w:val="00C54778"/>
    <w:rsid w:val="00C5484A"/>
    <w:rsid w:val="00C55E6F"/>
    <w:rsid w:val="00C6118F"/>
    <w:rsid w:val="00C6315C"/>
    <w:rsid w:val="00C67935"/>
    <w:rsid w:val="00C7218B"/>
    <w:rsid w:val="00C81E2D"/>
    <w:rsid w:val="00C97372"/>
    <w:rsid w:val="00CA39D9"/>
    <w:rsid w:val="00CA7A40"/>
    <w:rsid w:val="00CC37DE"/>
    <w:rsid w:val="00CE2B15"/>
    <w:rsid w:val="00CF1FC8"/>
    <w:rsid w:val="00D03A85"/>
    <w:rsid w:val="00D208A9"/>
    <w:rsid w:val="00D30DEA"/>
    <w:rsid w:val="00D31743"/>
    <w:rsid w:val="00D45C8D"/>
    <w:rsid w:val="00D60AB1"/>
    <w:rsid w:val="00D62DFD"/>
    <w:rsid w:val="00D67464"/>
    <w:rsid w:val="00D73A79"/>
    <w:rsid w:val="00D90045"/>
    <w:rsid w:val="00D9788F"/>
    <w:rsid w:val="00DA185D"/>
    <w:rsid w:val="00DC1103"/>
    <w:rsid w:val="00DC23CA"/>
    <w:rsid w:val="00DD647F"/>
    <w:rsid w:val="00DD7363"/>
    <w:rsid w:val="00E519EB"/>
    <w:rsid w:val="00E525FF"/>
    <w:rsid w:val="00E90985"/>
    <w:rsid w:val="00E950F8"/>
    <w:rsid w:val="00E9675D"/>
    <w:rsid w:val="00EA55F6"/>
    <w:rsid w:val="00EB296E"/>
    <w:rsid w:val="00EC0816"/>
    <w:rsid w:val="00EC5CD2"/>
    <w:rsid w:val="00ED7537"/>
    <w:rsid w:val="00EF68B2"/>
    <w:rsid w:val="00F13A06"/>
    <w:rsid w:val="00F21703"/>
    <w:rsid w:val="00F23761"/>
    <w:rsid w:val="00F27339"/>
    <w:rsid w:val="00F339B2"/>
    <w:rsid w:val="00F43546"/>
    <w:rsid w:val="00F64EBA"/>
    <w:rsid w:val="00F70C4F"/>
    <w:rsid w:val="00F72956"/>
    <w:rsid w:val="00F749AF"/>
    <w:rsid w:val="00F829C8"/>
    <w:rsid w:val="00FA6F38"/>
    <w:rsid w:val="00FA6F9F"/>
    <w:rsid w:val="00FB5CE3"/>
    <w:rsid w:val="00FC1EEA"/>
    <w:rsid w:val="00FF1619"/>
    <w:rsid w:val="00FF26C1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1A36D"/>
  <w15:docId w15:val="{06E6E2DC-DCC0-4BA4-8D86-5DFE13C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numPr>
        <w:numId w:val="17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95" w:hanging="710"/>
      <w:outlineLvl w:val="1"/>
    </w:pPr>
    <w:rPr>
      <w:b/>
      <w:bCs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564AC"/>
    <w:pPr>
      <w:widowControl/>
      <w:numPr>
        <w:numId w:val="2"/>
      </w:numPr>
      <w:autoSpaceDE/>
      <w:autoSpaceDN/>
      <w:ind w:left="567" w:hanging="567"/>
      <w:outlineLvl w:val="2"/>
    </w:pPr>
    <w:rPr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1703"/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pPr>
      <w:ind w:left="206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D7D7C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97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8F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D97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8F"/>
    <w:rPr>
      <w:rFonts w:ascii="Calibri" w:eastAsia="Calibri" w:hAnsi="Calibri" w:cs="Calibri"/>
      <w:lang w:val="en-AU" w:eastAsia="en-AU" w:bidi="en-AU"/>
    </w:rPr>
  </w:style>
  <w:style w:type="table" w:styleId="TableGrid">
    <w:name w:val="Table Grid"/>
    <w:basedOn w:val="TableNormal"/>
    <w:uiPriority w:val="39"/>
    <w:rsid w:val="0057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43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564AC"/>
    <w:rPr>
      <w:rFonts w:ascii="Calibri" w:eastAsia="Calibri" w:hAnsi="Calibri" w:cs="Calibri"/>
      <w:b/>
      <w:bCs/>
      <w:color w:val="0070C0"/>
      <w:sz w:val="26"/>
      <w:szCs w:val="26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FF"/>
    <w:rPr>
      <w:rFonts w:ascii="Segoe UI" w:eastAsia="Calibri" w:hAnsi="Segoe UI" w:cs="Segoe UI"/>
      <w:sz w:val="18"/>
      <w:szCs w:val="18"/>
      <w:lang w:val="en-AU" w:eastAsia="en-AU" w:bidi="en-AU"/>
    </w:rPr>
  </w:style>
  <w:style w:type="character" w:styleId="CommentReference">
    <w:name w:val="annotation reference"/>
    <w:uiPriority w:val="99"/>
    <w:semiHidden/>
    <w:unhideWhenUsed/>
    <w:rsid w:val="006D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9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621"/>
    <w:pPr>
      <w:widowControl w:val="0"/>
      <w:autoSpaceDE w:val="0"/>
      <w:autoSpaceDN w:val="0"/>
    </w:pPr>
    <w:rPr>
      <w:rFonts w:ascii="Calibri" w:eastAsia="Calibri" w:hAnsi="Calibri" w:cs="Calibri"/>
      <w:b/>
      <w:bCs/>
      <w:lang w:eastAsia="en-AU" w:bidi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621"/>
    <w:rPr>
      <w:rFonts w:ascii="Calibri" w:eastAsia="Calibri" w:hAnsi="Calibri" w:cs="Calibri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1C49C5"/>
    <w:pPr>
      <w:widowControl/>
      <w:autoSpaceDE/>
      <w:autoSpaceDN/>
    </w:pPr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EDA7-28C1-4563-BAC1-D09D549C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Template</vt:lpstr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Template</dc:title>
  <dc:subject/>
  <dc:creator>CEO</dc:creator>
  <cp:keywords/>
  <dc:description/>
  <cp:lastModifiedBy>Jan Williamson</cp:lastModifiedBy>
  <cp:revision>4</cp:revision>
  <dcterms:created xsi:type="dcterms:W3CDTF">2021-08-27T05:03:00Z</dcterms:created>
  <dcterms:modified xsi:type="dcterms:W3CDTF">2022-10-25T01:25:00Z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2018-07-30T00:00:00Z</vt:filetime>
  </property>
</Properties>
</file>